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BCFD" w14:textId="1DDD739E" w:rsidR="001C3F5E" w:rsidRPr="00134497" w:rsidRDefault="00F553CA" w:rsidP="001344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Quality</w:t>
      </w:r>
      <w:r w:rsidRPr="00134497">
        <w:rPr>
          <w:rFonts w:ascii="Arial" w:hAnsi="Arial" w:cs="Arial"/>
          <w:b/>
          <w:sz w:val="24"/>
        </w:rPr>
        <w:t xml:space="preserve"> </w:t>
      </w:r>
      <w:r w:rsidR="008155C8">
        <w:rPr>
          <w:rFonts w:ascii="Arial" w:hAnsi="Arial" w:cs="Arial"/>
          <w:b/>
          <w:sz w:val="24"/>
        </w:rPr>
        <w:t>Committee</w:t>
      </w:r>
    </w:p>
    <w:p w14:paraId="36F8E2B8" w14:textId="77777777" w:rsidR="00134497" w:rsidRDefault="00134497" w:rsidP="00134497">
      <w:pPr>
        <w:jc w:val="center"/>
        <w:rPr>
          <w:rFonts w:ascii="Arial" w:hAnsi="Arial" w:cs="Arial"/>
          <w:b/>
          <w:sz w:val="24"/>
        </w:rPr>
      </w:pPr>
      <w:r w:rsidRPr="00134497">
        <w:rPr>
          <w:rFonts w:ascii="Arial" w:hAnsi="Arial" w:cs="Arial"/>
          <w:b/>
          <w:sz w:val="24"/>
        </w:rPr>
        <w:t>Terms of Reference</w:t>
      </w:r>
      <w:r w:rsidR="00062158">
        <w:rPr>
          <w:rFonts w:ascii="Arial" w:hAnsi="Arial" w:cs="Arial"/>
          <w:b/>
          <w:sz w:val="24"/>
        </w:rPr>
        <w:t xml:space="preserve">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835"/>
        <w:gridCol w:w="4961"/>
      </w:tblGrid>
      <w:tr w:rsidR="00546ED9" w:rsidRPr="00134497" w14:paraId="739C6C6D" w14:textId="77777777" w:rsidTr="00134497">
        <w:tc>
          <w:tcPr>
            <w:tcW w:w="1986" w:type="dxa"/>
          </w:tcPr>
          <w:p w14:paraId="051E7827" w14:textId="77777777" w:rsidR="00134497" w:rsidRPr="00134497" w:rsidRDefault="00134497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>Purpose</w:t>
            </w:r>
          </w:p>
        </w:tc>
        <w:tc>
          <w:tcPr>
            <w:tcW w:w="7796" w:type="dxa"/>
            <w:gridSpan w:val="2"/>
          </w:tcPr>
          <w:p w14:paraId="7CF41255" w14:textId="1C546393" w:rsidR="0061752F" w:rsidRPr="0061752F" w:rsidRDefault="00770EC8" w:rsidP="000A3F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Committee</w:t>
            </w:r>
            <w:r w:rsidRPr="006175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752F" w:rsidRPr="0061752F">
              <w:rPr>
                <w:rFonts w:ascii="Arial" w:hAnsi="Arial" w:cs="Arial"/>
                <w:b/>
                <w:sz w:val="24"/>
                <w:szCs w:val="24"/>
              </w:rPr>
              <w:t>Meeting</w:t>
            </w:r>
            <w:r w:rsidR="00E2076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1752F" w:rsidRPr="0061752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A70407D" w14:textId="77777777" w:rsidR="0061752F" w:rsidRDefault="0061752F" w:rsidP="000554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63E7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seek assurance, learn and drive improvement in relation to all aspects of quality within the Trust in line with the NHS Patient Safety Strategy and national quality standards.</w:t>
            </w:r>
          </w:p>
          <w:p w14:paraId="7F66CDC1" w14:textId="77777777" w:rsidR="00832C22" w:rsidRDefault="00832C22" w:rsidP="00832C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F056DB" w14:textId="77777777" w:rsidR="0061752F" w:rsidRDefault="0061752F" w:rsidP="000554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752F">
              <w:rPr>
                <w:rFonts w:ascii="Arial" w:hAnsi="Arial" w:cs="Arial"/>
                <w:sz w:val="24"/>
                <w:szCs w:val="24"/>
              </w:rPr>
              <w:t>To provide a space for our staff to share insight into the quality of our services and engender a culture of patient centred improvement where peer challenge and support is offered by all members.</w:t>
            </w:r>
          </w:p>
          <w:p w14:paraId="1040DF36" w14:textId="66AED46D" w:rsidR="00832C22" w:rsidRDefault="00832C22" w:rsidP="000D75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2C22DE" w14:textId="1B41CE77" w:rsidR="001320DA" w:rsidRDefault="000418A7" w:rsidP="00832C2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534">
              <w:rPr>
                <w:rFonts w:ascii="Arial" w:hAnsi="Arial" w:cs="Arial"/>
                <w:b/>
                <w:bCs/>
                <w:sz w:val="24"/>
                <w:szCs w:val="24"/>
              </w:rPr>
              <w:t>What do we mean by ‘Quality’?</w:t>
            </w:r>
          </w:p>
          <w:p w14:paraId="109BB101" w14:textId="77777777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77D05C" w14:textId="06E8A8A2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High-quality, personalised and equitable care for all, now and into the future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4EAC54" w14:textId="77777777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5FE4DB" w14:textId="60B03DC9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F43B6B">
              <w:rPr>
                <w:rFonts w:ascii="Arial" w:hAnsi="Arial" w:cs="Arial"/>
                <w:sz w:val="24"/>
                <w:szCs w:val="24"/>
              </w:rPr>
              <w:t>practice</w:t>
            </w:r>
            <w:r>
              <w:rPr>
                <w:rFonts w:ascii="Arial" w:hAnsi="Arial" w:cs="Arial"/>
                <w:sz w:val="24"/>
                <w:szCs w:val="24"/>
              </w:rPr>
              <w:t xml:space="preserve"> this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is care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B6B">
              <w:rPr>
                <w:rFonts w:ascii="Arial" w:hAnsi="Arial" w:cs="Arial"/>
                <w:sz w:val="24"/>
                <w:szCs w:val="24"/>
              </w:rPr>
              <w:t>that is:</w:t>
            </w:r>
          </w:p>
          <w:p w14:paraId="51296461" w14:textId="77777777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DB6F10" w14:textId="77777777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• Safe - delivered in a way that minimises things going wrong and maximises things going right; continuously reduces risk, empowers, supports and enables people to make safe choices and protects people from harm, neglect, abuse and breaches of their human rights; and ensures improvements are made when problems occur.</w:t>
            </w:r>
          </w:p>
          <w:p w14:paraId="2EDD7E23" w14:textId="77777777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4099EB" w14:textId="77777777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• Effective - informed by consistent and up to date high quality training, guidelines and evidence; designed to improve the health and wellbeing of a population and address inequalities through prevention and by addressing the wider determinants of health; delivered in a way that enables continuous quality improvements based on research, evidence, benchmarking and clinical audit.</w:t>
            </w:r>
          </w:p>
          <w:p w14:paraId="690B1CB1" w14:textId="77777777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5DB5CC" w14:textId="2E84E883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• Positive experience</w:t>
            </w:r>
            <w:r w:rsidR="00F43B6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D06993" w14:textId="77777777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141C64" w14:textId="77777777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• Responsive and personalised - shaped by what matters to people, their preferences and strengths; empowers people to make informed decisions and design their own care; coordinated; inclusive and equitable.</w:t>
            </w:r>
          </w:p>
          <w:p w14:paraId="4E04EF3B" w14:textId="77777777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5ED4D5" w14:textId="3F1D710D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• Caring - delivered with compassion,</w:t>
            </w:r>
            <w:r w:rsidR="00F43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B6B">
              <w:rPr>
                <w:rFonts w:ascii="Arial" w:hAnsi="Arial" w:cs="Arial"/>
                <w:sz w:val="24"/>
                <w:szCs w:val="24"/>
              </w:rPr>
              <w:t>dignity and mutual respect.</w:t>
            </w:r>
          </w:p>
          <w:p w14:paraId="0B55AA8E" w14:textId="77777777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E8D98A" w14:textId="154054DF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• Well-led - driven by collective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B6B">
              <w:rPr>
                <w:rFonts w:ascii="Arial" w:hAnsi="Arial" w:cs="Arial"/>
                <w:sz w:val="24"/>
                <w:szCs w:val="24"/>
              </w:rPr>
              <w:t>compassionate leadership, which</w:t>
            </w:r>
          </w:p>
          <w:p w14:paraId="7FA5F9D6" w14:textId="72A1B2C6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champions a shared vision, values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B6B">
              <w:rPr>
                <w:rFonts w:ascii="Arial" w:hAnsi="Arial" w:cs="Arial"/>
                <w:sz w:val="24"/>
                <w:szCs w:val="24"/>
              </w:rPr>
              <w:t>and learning; delivered by</w:t>
            </w:r>
          </w:p>
          <w:p w14:paraId="35F0B001" w14:textId="03E41E2A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accountable organisations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B6B">
              <w:rPr>
                <w:rFonts w:ascii="Arial" w:hAnsi="Arial" w:cs="Arial"/>
                <w:sz w:val="24"/>
                <w:szCs w:val="24"/>
              </w:rPr>
              <w:t>systems with proportionate</w:t>
            </w:r>
          </w:p>
          <w:p w14:paraId="37CEF70A" w14:textId="7576E4ED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governance; driven by continual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B6B">
              <w:rPr>
                <w:rFonts w:ascii="Arial" w:hAnsi="Arial" w:cs="Arial"/>
                <w:sz w:val="24"/>
                <w:szCs w:val="24"/>
              </w:rPr>
              <w:t>promotion of a just and inclusive</w:t>
            </w:r>
          </w:p>
          <w:p w14:paraId="19E808A3" w14:textId="77777777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culture, allowing organisations to learn</w:t>
            </w:r>
          </w:p>
          <w:p w14:paraId="75A00C0F" w14:textId="77777777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lastRenderedPageBreak/>
              <w:t>rather than blame.</w:t>
            </w:r>
          </w:p>
          <w:p w14:paraId="08092756" w14:textId="77777777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67A80E" w14:textId="42C2B444" w:rsidR="001320DA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• Sustainably-resourced - focused 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B6B">
              <w:rPr>
                <w:rFonts w:ascii="Arial" w:hAnsi="Arial" w:cs="Arial"/>
                <w:sz w:val="24"/>
                <w:szCs w:val="24"/>
              </w:rPr>
              <w:t>delivering optimum outcomes within financial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B6B">
              <w:rPr>
                <w:rFonts w:ascii="Arial" w:hAnsi="Arial" w:cs="Arial"/>
                <w:sz w:val="24"/>
                <w:szCs w:val="24"/>
              </w:rPr>
              <w:t>envelopes, reduces impact on public health and the environment.</w:t>
            </w:r>
          </w:p>
          <w:p w14:paraId="320E83D0" w14:textId="77777777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1C8A0B" w14:textId="2AA6E3B3" w:rsidR="001320DA" w:rsidRPr="00F43B6B" w:rsidRDefault="001320DA" w:rsidP="001320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3B6B">
              <w:rPr>
                <w:rFonts w:ascii="Arial" w:hAnsi="Arial" w:cs="Arial"/>
                <w:sz w:val="24"/>
                <w:szCs w:val="24"/>
              </w:rPr>
              <w:t>• Quality care is also equitable - everybody should have access to high-quality care and outcomes, and those working in systems must be committed to understanding and reducing variation and inequalities.</w:t>
            </w:r>
          </w:p>
          <w:p w14:paraId="10CDDAD5" w14:textId="77777777" w:rsidR="00832C22" w:rsidRPr="000D7534" w:rsidRDefault="00832C22" w:rsidP="000D753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034C8C" w14:textId="77777777" w:rsidR="0061752F" w:rsidRPr="008D63E7" w:rsidRDefault="0061752F" w:rsidP="00F43B6B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ED9" w:rsidRPr="00134497" w14:paraId="5BD54B68" w14:textId="77777777" w:rsidTr="00134497">
        <w:tc>
          <w:tcPr>
            <w:tcW w:w="1986" w:type="dxa"/>
          </w:tcPr>
          <w:p w14:paraId="52F87C12" w14:textId="77777777" w:rsidR="00134497" w:rsidRPr="00134497" w:rsidRDefault="00134497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lastRenderedPageBreak/>
              <w:t>Responsible to</w:t>
            </w:r>
          </w:p>
        </w:tc>
        <w:tc>
          <w:tcPr>
            <w:tcW w:w="7796" w:type="dxa"/>
            <w:gridSpan w:val="2"/>
          </w:tcPr>
          <w:p w14:paraId="21BC9CBA" w14:textId="77777777" w:rsidR="00134497" w:rsidRPr="00134497" w:rsidRDefault="00E308FB" w:rsidP="00D60AD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Board of Directors </w:t>
            </w:r>
          </w:p>
        </w:tc>
      </w:tr>
      <w:tr w:rsidR="00546ED9" w:rsidRPr="00134497" w14:paraId="69DC07FA" w14:textId="77777777" w:rsidTr="00134497">
        <w:tc>
          <w:tcPr>
            <w:tcW w:w="1986" w:type="dxa"/>
          </w:tcPr>
          <w:p w14:paraId="20BACBB2" w14:textId="77777777" w:rsidR="00134497" w:rsidRPr="00134497" w:rsidRDefault="00134497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>Delegated authority</w:t>
            </w:r>
          </w:p>
        </w:tc>
        <w:tc>
          <w:tcPr>
            <w:tcW w:w="7796" w:type="dxa"/>
            <w:gridSpan w:val="2"/>
          </w:tcPr>
          <w:p w14:paraId="59BC1B2B" w14:textId="2D1BFD43" w:rsidR="00F43B6B" w:rsidRDefault="00546ED9" w:rsidP="0054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E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</w:t>
            </w:r>
            <w:r w:rsidR="00C26490">
              <w:rPr>
                <w:rFonts w:ascii="Arial" w:hAnsi="Arial" w:cs="Arial"/>
                <w:sz w:val="24"/>
                <w:szCs w:val="24"/>
                <w:lang w:eastAsia="en-GB"/>
              </w:rPr>
              <w:t>Committee</w:t>
            </w:r>
            <w:r w:rsidR="00C26490" w:rsidRPr="00546E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546E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is authorised to </w:t>
            </w:r>
            <w:r w:rsidR="008155C8">
              <w:rPr>
                <w:rFonts w:ascii="Arial" w:hAnsi="Arial" w:cs="Arial"/>
                <w:sz w:val="24"/>
                <w:szCs w:val="24"/>
                <w:lang w:eastAsia="en-GB"/>
              </w:rPr>
              <w:t xml:space="preserve">commission or receive </w:t>
            </w:r>
            <w:r w:rsidRPr="00546ED9">
              <w:rPr>
                <w:rFonts w:ascii="Arial" w:hAnsi="Arial" w:cs="Arial"/>
                <w:sz w:val="24"/>
                <w:szCs w:val="24"/>
                <w:lang w:eastAsia="en-GB"/>
              </w:rPr>
              <w:t>investigat</w:t>
            </w:r>
            <w:r w:rsidR="008155C8">
              <w:rPr>
                <w:rFonts w:ascii="Arial" w:hAnsi="Arial" w:cs="Arial"/>
                <w:sz w:val="24"/>
                <w:szCs w:val="24"/>
                <w:lang w:eastAsia="en-GB"/>
              </w:rPr>
              <w:t xml:space="preserve">ions relating to </w:t>
            </w:r>
            <w:r w:rsidRPr="00546E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any activity within its terms of reference. It is further authorised to seek any information it requires from any employee of the Trust </w:t>
            </w:r>
            <w:r w:rsidR="006C54AE">
              <w:rPr>
                <w:rFonts w:ascii="Arial" w:hAnsi="Arial" w:cs="Arial"/>
                <w:sz w:val="24"/>
                <w:szCs w:val="24"/>
                <w:lang w:eastAsia="en-GB"/>
              </w:rPr>
              <w:t xml:space="preserve">and invite them to attend the </w:t>
            </w:r>
            <w:r w:rsidR="00C26490">
              <w:rPr>
                <w:rFonts w:ascii="Arial" w:hAnsi="Arial" w:cs="Arial"/>
                <w:sz w:val="24"/>
                <w:szCs w:val="24"/>
                <w:lang w:eastAsia="en-GB"/>
              </w:rPr>
              <w:t xml:space="preserve">Committee </w:t>
            </w:r>
            <w:r w:rsidR="006C54AE">
              <w:rPr>
                <w:rFonts w:ascii="Arial" w:hAnsi="Arial" w:cs="Arial"/>
                <w:sz w:val="24"/>
                <w:szCs w:val="24"/>
                <w:lang w:eastAsia="en-GB"/>
              </w:rPr>
              <w:t>to contribute to a discussion or to enable the ‘lived experience’ to be captured as part of the debate.</w:t>
            </w:r>
            <w:r w:rsidRPr="00546E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15CA00F5" w14:textId="77777777" w:rsidR="00F43B6B" w:rsidRDefault="00F43B6B" w:rsidP="0054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2F56B61" w14:textId="25CFB1C2" w:rsidR="00C26490" w:rsidRDefault="00546ED9" w:rsidP="0054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E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</w:t>
            </w:r>
            <w:r w:rsidR="008155C8">
              <w:rPr>
                <w:rFonts w:ascii="Arial" w:hAnsi="Arial" w:cs="Arial"/>
                <w:sz w:val="24"/>
                <w:szCs w:val="24"/>
                <w:lang w:eastAsia="en-GB"/>
              </w:rPr>
              <w:t>Com</w:t>
            </w:r>
            <w:r w:rsidR="008044EB">
              <w:rPr>
                <w:rFonts w:ascii="Arial" w:hAnsi="Arial" w:cs="Arial"/>
                <w:sz w:val="24"/>
                <w:szCs w:val="24"/>
                <w:lang w:eastAsia="en-GB"/>
              </w:rPr>
              <w:t>m</w:t>
            </w:r>
            <w:r w:rsidR="008155C8">
              <w:rPr>
                <w:rFonts w:ascii="Arial" w:hAnsi="Arial" w:cs="Arial"/>
                <w:sz w:val="24"/>
                <w:szCs w:val="24"/>
                <w:lang w:eastAsia="en-GB"/>
              </w:rPr>
              <w:t>ittee</w:t>
            </w:r>
            <w:r w:rsidR="008155C8" w:rsidRPr="00546E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546E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may make a request to the </w:t>
            </w:r>
            <w:r w:rsidR="008155C8">
              <w:rPr>
                <w:rFonts w:ascii="Arial" w:hAnsi="Arial" w:cs="Arial"/>
                <w:sz w:val="24"/>
                <w:szCs w:val="24"/>
                <w:lang w:eastAsia="en-GB"/>
              </w:rPr>
              <w:t xml:space="preserve">Board </w:t>
            </w:r>
            <w:r w:rsidRPr="00546ED9">
              <w:rPr>
                <w:rFonts w:ascii="Arial" w:hAnsi="Arial" w:cs="Arial"/>
                <w:sz w:val="24"/>
                <w:szCs w:val="24"/>
                <w:lang w:eastAsia="en-GB"/>
              </w:rPr>
              <w:t>for legal or independent professional advice</w:t>
            </w:r>
            <w:r w:rsidR="006C54AE">
              <w:rPr>
                <w:rFonts w:ascii="Arial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0C2542AE" w14:textId="77777777" w:rsidR="00C26490" w:rsidRDefault="00C26490" w:rsidP="0054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C7BC9E8" w14:textId="343F5680" w:rsidR="00134497" w:rsidRDefault="006C54AE" w:rsidP="0054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</w:t>
            </w:r>
            <w:r w:rsidR="008155C8">
              <w:rPr>
                <w:rFonts w:ascii="Arial" w:hAnsi="Arial" w:cs="Arial"/>
                <w:sz w:val="24"/>
                <w:szCs w:val="24"/>
                <w:lang w:eastAsia="en-GB"/>
              </w:rPr>
              <w:t xml:space="preserve">Committee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may</w:t>
            </w:r>
            <w:r w:rsidR="00546ED9" w:rsidRPr="00546ED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request the attendance of external advisers with relevant experience and expertise if it considers this necessary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to either contribute to an agenda item or to run development sessions for its members.</w:t>
            </w:r>
          </w:p>
          <w:p w14:paraId="03FD81B5" w14:textId="77777777" w:rsidR="00BF6BBA" w:rsidRDefault="00BF6BBA" w:rsidP="0054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F65A79D" w14:textId="7CE63181" w:rsidR="00546ED9" w:rsidRPr="00BF6BBA" w:rsidRDefault="00BF6BBA" w:rsidP="00BF6B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</w:t>
            </w:r>
            <w:r w:rsidR="008155C8">
              <w:rPr>
                <w:rFonts w:ascii="Arial" w:hAnsi="Arial" w:cs="Arial"/>
                <w:sz w:val="24"/>
                <w:szCs w:val="24"/>
                <w:lang w:eastAsia="en-GB"/>
              </w:rPr>
              <w:t xml:space="preserve">Committee </w:t>
            </w:r>
            <w:r w:rsidRPr="007D6DDF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>
              <w:rPr>
                <w:rFonts w:ascii="Arial" w:hAnsi="Arial" w:cs="Arial"/>
                <w:sz w:val="24"/>
                <w:szCs w:val="24"/>
              </w:rPr>
              <w:t xml:space="preserve">receive mandated highlight reports from the clinical working groups according to the reporting structure and annual work plan. </w:t>
            </w:r>
          </w:p>
        </w:tc>
      </w:tr>
      <w:tr w:rsidR="008044EB" w:rsidRPr="00134497" w14:paraId="0542440E" w14:textId="77777777" w:rsidTr="0020778A">
        <w:trPr>
          <w:trHeight w:val="3127"/>
        </w:trPr>
        <w:tc>
          <w:tcPr>
            <w:tcW w:w="1986" w:type="dxa"/>
          </w:tcPr>
          <w:p w14:paraId="392AE8C6" w14:textId="77777777" w:rsidR="008044EB" w:rsidRPr="00134497" w:rsidRDefault="008044EB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 xml:space="preserve">Duties </w:t>
            </w:r>
          </w:p>
        </w:tc>
        <w:tc>
          <w:tcPr>
            <w:tcW w:w="7796" w:type="dxa"/>
            <w:gridSpan w:val="2"/>
          </w:tcPr>
          <w:p w14:paraId="3E30BD6F" w14:textId="356FD20D" w:rsidR="008044EB" w:rsidRDefault="00B149BB" w:rsidP="00456AA6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8044EB" w:rsidRPr="00510899">
              <w:rPr>
                <w:rFonts w:ascii="Arial" w:hAnsi="Arial" w:cs="Arial"/>
                <w:color w:val="000000"/>
                <w:sz w:val="24"/>
                <w:szCs w:val="24"/>
              </w:rPr>
              <w:t xml:space="preserve">eceive assurance that </w:t>
            </w:r>
            <w:r w:rsidR="008044EB">
              <w:rPr>
                <w:rFonts w:ascii="Arial" w:hAnsi="Arial" w:cs="Arial"/>
                <w:color w:val="000000"/>
                <w:sz w:val="24"/>
                <w:szCs w:val="24"/>
              </w:rPr>
              <w:t xml:space="preserve">the quality of the </w:t>
            </w:r>
            <w:r w:rsidR="008044EB" w:rsidRPr="00510899">
              <w:rPr>
                <w:rFonts w:ascii="Arial" w:hAnsi="Arial" w:cs="Arial"/>
                <w:color w:val="000000"/>
                <w:sz w:val="24"/>
                <w:szCs w:val="24"/>
              </w:rPr>
              <w:t>Trust’s services is compliant with national standards and the requirements of NHS regulators and commissioners of services.</w:t>
            </w:r>
            <w:r w:rsidR="009429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01AC3">
              <w:rPr>
                <w:rFonts w:ascii="Arial" w:hAnsi="Arial" w:cs="Arial"/>
                <w:color w:val="000000"/>
                <w:sz w:val="24"/>
                <w:szCs w:val="24"/>
              </w:rPr>
              <w:t>Reporting includes:</w:t>
            </w:r>
          </w:p>
          <w:p w14:paraId="57FFF4B6" w14:textId="77777777" w:rsidR="00616E18" w:rsidRDefault="009429A0" w:rsidP="00616E1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3110">
              <w:rPr>
                <w:rFonts w:ascii="Arial" w:hAnsi="Arial" w:cs="Arial"/>
                <w:color w:val="000000"/>
                <w:sz w:val="24"/>
                <w:szCs w:val="24"/>
              </w:rPr>
              <w:t>Committee Dashboar</w:t>
            </w:r>
            <w:r w:rsidR="00616E18" w:rsidRPr="00616E18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  <w:p w14:paraId="33826C2E" w14:textId="3EA229C7" w:rsidR="00616E18" w:rsidRPr="001B3110" w:rsidRDefault="00616E18" w:rsidP="00616E1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Q</w:t>
            </w:r>
            <w:r w:rsidR="009429A0" w:rsidRPr="001B3110">
              <w:rPr>
                <w:rFonts w:ascii="Arial" w:hAnsi="Arial" w:cs="Arial"/>
                <w:color w:val="000000"/>
                <w:sz w:val="24"/>
                <w:szCs w:val="24"/>
              </w:rPr>
              <w:t>uality Oversight</w:t>
            </w:r>
            <w:r w:rsidRPr="001B311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149BB">
              <w:rPr>
                <w:rFonts w:ascii="Arial" w:hAnsi="Arial" w:cs="Arial"/>
                <w:color w:val="000000"/>
                <w:sz w:val="24"/>
                <w:szCs w:val="24"/>
              </w:rPr>
              <w:t>and Assurance Profile</w:t>
            </w:r>
          </w:p>
          <w:p w14:paraId="2F31EA15" w14:textId="77777777" w:rsidR="0020778A" w:rsidRDefault="00616E18" w:rsidP="009429A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6B2">
              <w:rPr>
                <w:rFonts w:ascii="Arial" w:hAnsi="Arial" w:cs="Arial"/>
                <w:color w:val="000000"/>
                <w:sz w:val="24"/>
                <w:szCs w:val="24"/>
              </w:rPr>
              <w:t>Maternity and Neonatal Services</w:t>
            </w:r>
          </w:p>
          <w:p w14:paraId="239FA095" w14:textId="2CAE20ED" w:rsidR="00616E18" w:rsidRDefault="00616E18" w:rsidP="009429A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Clinical Audit High Priority Plan / Annual Report</w:t>
            </w:r>
          </w:p>
          <w:p w14:paraId="6B1793F5" w14:textId="0D53EB08" w:rsidR="00616E18" w:rsidRDefault="00616E18" w:rsidP="009429A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Infection Prevention and Control (IPC)</w:t>
            </w:r>
          </w:p>
          <w:p w14:paraId="7F27BA82" w14:textId="77777777" w:rsidR="00616E18" w:rsidRDefault="00616E18" w:rsidP="009429A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Compliance with National Food Standards </w:t>
            </w:r>
          </w:p>
          <w:p w14:paraId="4254ACDC" w14:textId="51644E32" w:rsidR="00616E18" w:rsidRDefault="00616E18" w:rsidP="009429A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Safeguarding Adults and </w:t>
            </w:r>
            <w:r w:rsidR="0013617E">
              <w:rPr>
                <w:rFonts w:ascii="Arial" w:hAnsi="Arial" w:cs="Arial"/>
                <w:color w:val="000000"/>
                <w:sz w:val="24"/>
                <w:szCs w:val="24"/>
              </w:rPr>
              <w:t>Children</w:t>
            </w:r>
            <w:r w:rsidR="00C01A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DEFE280" w14:textId="4D5EDC94" w:rsidR="00616E18" w:rsidRDefault="00616E18" w:rsidP="009429A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Palliative Care </w:t>
            </w:r>
          </w:p>
          <w:p w14:paraId="08121A91" w14:textId="1AD0176D" w:rsidR="00616E18" w:rsidRDefault="00616E18" w:rsidP="009429A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Ward Accreditation</w:t>
            </w:r>
          </w:p>
          <w:p w14:paraId="2F0870FE" w14:textId="77777777" w:rsidR="00616E18" w:rsidRPr="001B3110" w:rsidRDefault="00616E18" w:rsidP="001B3110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8A55ED" w14:textId="323BFFE6" w:rsidR="00420C5C" w:rsidRDefault="008044EB" w:rsidP="00420C5C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</w:t>
            </w:r>
            <w:r w:rsidRPr="00510899">
              <w:rPr>
                <w:rFonts w:ascii="Arial" w:hAnsi="Arial" w:cs="Arial"/>
                <w:sz w:val="24"/>
                <w:szCs w:val="24"/>
              </w:rPr>
              <w:t>eview and provide feedback on quality related submissions required by NHSE or other external organisations, prior to approval through the Trust Board as required.</w:t>
            </w:r>
            <w:r w:rsidR="00420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1AC3">
              <w:rPr>
                <w:rFonts w:ascii="Arial" w:hAnsi="Arial" w:cs="Arial"/>
                <w:sz w:val="24"/>
                <w:szCs w:val="24"/>
              </w:rPr>
              <w:t>Reporting includes</w:t>
            </w:r>
            <w:r w:rsidR="00420C5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79FBE89" w14:textId="18A22D6C" w:rsidR="00420C5C" w:rsidRPr="001B3110" w:rsidRDefault="00420C5C" w:rsidP="001B311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3110">
              <w:rPr>
                <w:rFonts w:ascii="Arial" w:hAnsi="Arial" w:cs="Arial"/>
                <w:sz w:val="24"/>
                <w:szCs w:val="24"/>
              </w:rPr>
              <w:t>Maternity Incentive Scheme</w:t>
            </w:r>
          </w:p>
          <w:p w14:paraId="1C3F72B9" w14:textId="2017EDA0" w:rsidR="00420C5C" w:rsidRPr="001B3110" w:rsidRDefault="0013617E" w:rsidP="001B311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Annual </w:t>
            </w:r>
            <w:r w:rsidR="00420C5C" w:rsidRPr="001B3110">
              <w:rPr>
                <w:rFonts w:ascii="Arial" w:hAnsi="Arial" w:cs="Arial"/>
                <w:sz w:val="24"/>
                <w:szCs w:val="24"/>
              </w:rPr>
              <w:t>Quality Account</w:t>
            </w:r>
          </w:p>
          <w:p w14:paraId="3D213B2F" w14:textId="1CEC0E0E" w:rsidR="00420C5C" w:rsidRPr="001B3110" w:rsidRDefault="00420C5C" w:rsidP="0013617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3110">
              <w:rPr>
                <w:rFonts w:ascii="Arial" w:hAnsi="Arial" w:cs="Arial"/>
                <w:sz w:val="24"/>
                <w:szCs w:val="24"/>
              </w:rPr>
              <w:t xml:space="preserve">Equality Delivery </w:t>
            </w:r>
            <w:r w:rsidR="0013617E">
              <w:rPr>
                <w:rFonts w:ascii="Arial" w:hAnsi="Arial" w:cs="Arial"/>
                <w:sz w:val="24"/>
                <w:szCs w:val="24"/>
              </w:rPr>
              <w:t>System</w:t>
            </w:r>
            <w:r w:rsidR="0013617E">
              <w:rPr>
                <w:rFonts w:ascii="Arial" w:hAnsi="Arial" w:cs="Arial"/>
                <w:color w:val="0A0A0A"/>
                <w:shd w:val="clear" w:color="auto" w:fill="FFFFFF"/>
              </w:rPr>
              <w:t xml:space="preserve"> (EDS22)</w:t>
            </w:r>
          </w:p>
          <w:p w14:paraId="7A48AF9F" w14:textId="77777777" w:rsidR="0013617E" w:rsidRPr="001B3110" w:rsidRDefault="0013617E" w:rsidP="001B3110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156163" w14:textId="1D13CC47" w:rsidR="008044EB" w:rsidRPr="00626CAF" w:rsidRDefault="0013617E" w:rsidP="00123E88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="008044EB" w:rsidRPr="009F4653">
              <w:rPr>
                <w:rFonts w:ascii="Arial" w:hAnsi="Arial" w:cs="Arial"/>
                <w:sz w:val="24"/>
                <w:szCs w:val="24"/>
              </w:rPr>
              <w:t>ke recommendations to the Audit Committee concerning the annual programme of Internal Audit</w:t>
            </w:r>
            <w:r w:rsidR="008044EB">
              <w:rPr>
                <w:rFonts w:ascii="Arial" w:hAnsi="Arial" w:cs="Arial"/>
                <w:sz w:val="24"/>
                <w:szCs w:val="24"/>
              </w:rPr>
              <w:t>.</w:t>
            </w:r>
            <w:r w:rsidR="00C01A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3804AD" w14:textId="7571FF8F" w:rsidR="00420C5C" w:rsidRPr="001B3110" w:rsidRDefault="008044EB" w:rsidP="00123E88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549D5">
              <w:rPr>
                <w:rFonts w:ascii="Arial" w:hAnsi="Arial" w:cs="Arial"/>
                <w:sz w:val="24"/>
                <w:szCs w:val="24"/>
              </w:rPr>
              <w:t>Consideration of relevant internal audit reports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commissioning actions in relation to the findings as appropriate.</w:t>
            </w:r>
            <w:r w:rsidR="00C01A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0E41AB" w14:textId="4EA3F1E5" w:rsidR="00C73B8E" w:rsidRDefault="008044EB" w:rsidP="00C73B8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C73B8E">
              <w:rPr>
                <w:rFonts w:ascii="Arial" w:hAnsi="Arial" w:cs="Arial"/>
                <w:sz w:val="24"/>
                <w:szCs w:val="24"/>
              </w:rPr>
              <w:t>Oversight of the process for impact assessment (quality and equality) and receive assessments of any Trust developments and cost improvement schemes that are evaluated as high risk.</w:t>
            </w:r>
            <w:r w:rsidR="00C73B8E" w:rsidRPr="00C73B8E">
              <w:rPr>
                <w:rFonts w:ascii="Arial" w:hAnsi="Arial" w:cs="Arial"/>
                <w:sz w:val="24"/>
                <w:szCs w:val="24"/>
              </w:rPr>
              <w:t xml:space="preserve">  Reporting includes:</w:t>
            </w:r>
          </w:p>
          <w:p w14:paraId="0B66DC44" w14:textId="6B7BFA69" w:rsidR="00C73B8E" w:rsidRPr="00C73B8E" w:rsidRDefault="00C73B8E" w:rsidP="00665869">
            <w:pPr>
              <w:pStyle w:val="ListParagraph"/>
              <w:numPr>
                <w:ilvl w:val="1"/>
                <w:numId w:val="4"/>
              </w:numPr>
              <w:ind w:left="626" w:hanging="283"/>
              <w:rPr>
                <w:rFonts w:ascii="Arial" w:hAnsi="Arial" w:cs="Arial"/>
                <w:sz w:val="24"/>
                <w:szCs w:val="24"/>
              </w:rPr>
            </w:pPr>
            <w:r w:rsidRPr="00C73B8E">
              <w:rPr>
                <w:rFonts w:ascii="Arial" w:hAnsi="Arial" w:cs="Arial"/>
                <w:sz w:val="24"/>
                <w:szCs w:val="24"/>
              </w:rPr>
              <w:t>Impact assessment (quality and equality) of Trust developments and cost improvement schemes evaluated as high risk (when required)</w:t>
            </w:r>
          </w:p>
          <w:p w14:paraId="3DD96004" w14:textId="0283BCC1" w:rsidR="00C01AC3" w:rsidRDefault="00123E88" w:rsidP="00123E88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 o</w:t>
            </w:r>
            <w:r w:rsidR="008044EB" w:rsidRPr="00510899">
              <w:rPr>
                <w:rFonts w:ascii="Arial" w:hAnsi="Arial" w:cs="Arial"/>
                <w:sz w:val="24"/>
                <w:szCs w:val="24"/>
              </w:rPr>
              <w:t xml:space="preserve">versight of the </w:t>
            </w:r>
            <w:r w:rsidR="008044EB">
              <w:rPr>
                <w:rFonts w:ascii="Arial" w:hAnsi="Arial" w:cs="Arial"/>
                <w:sz w:val="24"/>
                <w:szCs w:val="24"/>
              </w:rPr>
              <w:t>T</w:t>
            </w:r>
            <w:r w:rsidR="008044EB" w:rsidRPr="00510899">
              <w:rPr>
                <w:rFonts w:ascii="Arial" w:hAnsi="Arial" w:cs="Arial"/>
                <w:sz w:val="24"/>
                <w:szCs w:val="24"/>
              </w:rPr>
              <w:t>rust</w:t>
            </w:r>
            <w:r w:rsidR="008044EB">
              <w:rPr>
                <w:rFonts w:ascii="Arial" w:hAnsi="Arial" w:cs="Arial"/>
                <w:sz w:val="24"/>
                <w:szCs w:val="24"/>
              </w:rPr>
              <w:t>’</w:t>
            </w:r>
            <w:r w:rsidR="008044EB" w:rsidRPr="00510899">
              <w:rPr>
                <w:rFonts w:ascii="Arial" w:hAnsi="Arial" w:cs="Arial"/>
                <w:sz w:val="24"/>
                <w:szCs w:val="24"/>
              </w:rPr>
              <w:t xml:space="preserve">s objectives relating to quality priorities for inclusion in the </w:t>
            </w:r>
            <w:r w:rsidR="008044EB">
              <w:rPr>
                <w:rFonts w:ascii="Arial" w:hAnsi="Arial" w:cs="Arial"/>
                <w:sz w:val="24"/>
                <w:szCs w:val="24"/>
              </w:rPr>
              <w:t>T</w:t>
            </w:r>
            <w:r w:rsidR="008044EB" w:rsidRPr="00510899">
              <w:rPr>
                <w:rFonts w:ascii="Arial" w:hAnsi="Arial" w:cs="Arial"/>
                <w:sz w:val="24"/>
                <w:szCs w:val="24"/>
              </w:rPr>
              <w:t>rust</w:t>
            </w:r>
            <w:r w:rsidR="008044EB">
              <w:rPr>
                <w:rFonts w:ascii="Arial" w:hAnsi="Arial" w:cs="Arial"/>
                <w:sz w:val="24"/>
                <w:szCs w:val="24"/>
              </w:rPr>
              <w:t>’</w:t>
            </w:r>
            <w:r w:rsidR="008044EB" w:rsidRPr="00510899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8044EB" w:rsidRPr="00C01AC3">
              <w:rPr>
                <w:rFonts w:ascii="Arial" w:hAnsi="Arial" w:cs="Arial"/>
                <w:sz w:val="24"/>
                <w:szCs w:val="24"/>
              </w:rPr>
              <w:t>Annual Quality Account.</w:t>
            </w:r>
            <w:r w:rsidR="008044EB" w:rsidRPr="005108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C0DF16" w14:textId="5D062070" w:rsidR="008044EB" w:rsidRDefault="008044EB" w:rsidP="00456AA6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Oversight of the development and </w:t>
            </w:r>
            <w:r w:rsidRPr="007D6DDF">
              <w:rPr>
                <w:rFonts w:ascii="Arial" w:hAnsi="Arial" w:cs="Arial"/>
                <w:sz w:val="24"/>
                <w:szCs w:val="24"/>
              </w:rPr>
              <w:t>delivery of the Trust’s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3B6B">
              <w:rPr>
                <w:rFonts w:ascii="Arial" w:hAnsi="Arial" w:cs="Arial"/>
                <w:sz w:val="24"/>
                <w:szCs w:val="24"/>
              </w:rPr>
              <w:t>Improvement Strategy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3B4FA6" w14:textId="20B6329B" w:rsidR="008044EB" w:rsidRDefault="008044EB" w:rsidP="00456AA6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Oversight of progress towards the Trust’s digital and data related objectives through regular reports from the Digital and Data Transformation Committee, and</w:t>
            </w:r>
            <w:r w:rsidRPr="00510899">
              <w:rPr>
                <w:rFonts w:ascii="Arial" w:hAnsi="Arial" w:cs="Arial"/>
                <w:sz w:val="24"/>
                <w:szCs w:val="24"/>
              </w:rPr>
              <w:t xml:space="preserve"> review and provide feedback on Information Governance related submissions required by legislation prior to approval through the Trust Board as required.</w:t>
            </w:r>
            <w:r w:rsidR="00C01A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3B8E">
              <w:rPr>
                <w:rFonts w:ascii="Arial" w:hAnsi="Arial" w:cs="Arial"/>
                <w:sz w:val="24"/>
                <w:szCs w:val="24"/>
              </w:rPr>
              <w:t xml:space="preserve">Reporting </w:t>
            </w:r>
            <w:r w:rsidR="00262520">
              <w:rPr>
                <w:rFonts w:ascii="Arial" w:hAnsi="Arial" w:cs="Arial"/>
                <w:sz w:val="24"/>
                <w:szCs w:val="24"/>
              </w:rPr>
              <w:t>i</w:t>
            </w:r>
            <w:r w:rsidR="00C73B8E">
              <w:rPr>
                <w:rFonts w:ascii="Arial" w:hAnsi="Arial" w:cs="Arial"/>
                <w:sz w:val="24"/>
                <w:szCs w:val="24"/>
              </w:rPr>
              <w:t>ncludes:</w:t>
            </w:r>
          </w:p>
          <w:p w14:paraId="7246D244" w14:textId="11BC4E76" w:rsidR="00C73B8E" w:rsidRPr="00C73B8E" w:rsidRDefault="00C73B8E" w:rsidP="0066586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626" w:hanging="283"/>
              <w:rPr>
                <w:rFonts w:ascii="Arial" w:hAnsi="Arial" w:cs="Arial"/>
                <w:sz w:val="24"/>
                <w:szCs w:val="24"/>
              </w:rPr>
            </w:pPr>
            <w:r w:rsidRPr="00C73B8E">
              <w:rPr>
                <w:rFonts w:ascii="Arial" w:hAnsi="Arial" w:cs="Arial"/>
                <w:sz w:val="24"/>
                <w:szCs w:val="24"/>
              </w:rPr>
              <w:t>Digital Report (including Digital Strategy)</w:t>
            </w:r>
          </w:p>
          <w:p w14:paraId="21FD755D" w14:textId="6DA6914F" w:rsidR="00C73B8E" w:rsidRPr="00C73B8E" w:rsidRDefault="00C73B8E" w:rsidP="0066586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626" w:hanging="283"/>
              <w:rPr>
                <w:rFonts w:ascii="Arial" w:hAnsi="Arial" w:cs="Arial"/>
                <w:sz w:val="24"/>
                <w:szCs w:val="24"/>
              </w:rPr>
            </w:pPr>
            <w:r w:rsidRPr="00C73B8E">
              <w:rPr>
                <w:rFonts w:ascii="Arial" w:hAnsi="Arial" w:cs="Arial"/>
                <w:sz w:val="24"/>
                <w:szCs w:val="24"/>
              </w:rPr>
              <w:t>Senior Information Risk Officer (SIRO) Report</w:t>
            </w:r>
          </w:p>
          <w:p w14:paraId="138C319A" w14:textId="630AA8D2" w:rsidR="00C73B8E" w:rsidRPr="00C73B8E" w:rsidRDefault="00C73B8E" w:rsidP="0066586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626" w:hanging="283"/>
              <w:rPr>
                <w:rFonts w:ascii="Arial" w:hAnsi="Arial" w:cs="Arial"/>
                <w:sz w:val="24"/>
                <w:szCs w:val="24"/>
              </w:rPr>
            </w:pPr>
            <w:r w:rsidRPr="00C73B8E">
              <w:rPr>
                <w:rFonts w:ascii="Arial" w:hAnsi="Arial" w:cs="Arial"/>
                <w:sz w:val="24"/>
                <w:szCs w:val="24"/>
              </w:rPr>
              <w:t>Data Protection Officer Annual Report</w:t>
            </w:r>
          </w:p>
          <w:p w14:paraId="045798FF" w14:textId="1774EE8D" w:rsidR="00C73B8E" w:rsidRPr="00C73B8E" w:rsidRDefault="00C73B8E" w:rsidP="0066586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626" w:hanging="283"/>
              <w:rPr>
                <w:rFonts w:ascii="Arial" w:hAnsi="Arial" w:cs="Arial"/>
                <w:sz w:val="24"/>
                <w:szCs w:val="24"/>
              </w:rPr>
            </w:pPr>
            <w:r w:rsidRPr="00C73B8E">
              <w:rPr>
                <w:rFonts w:ascii="Arial" w:hAnsi="Arial" w:cs="Arial"/>
                <w:sz w:val="24"/>
                <w:szCs w:val="24"/>
              </w:rPr>
              <w:t xml:space="preserve">Data Security and Protection Toolkit </w:t>
            </w:r>
          </w:p>
          <w:p w14:paraId="6E62936C" w14:textId="3771C315" w:rsidR="00C73B8E" w:rsidRPr="00C73B8E" w:rsidRDefault="00C73B8E" w:rsidP="0066586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626" w:hanging="283"/>
              <w:rPr>
                <w:rFonts w:ascii="Arial" w:hAnsi="Arial" w:cs="Arial"/>
                <w:sz w:val="24"/>
                <w:szCs w:val="24"/>
              </w:rPr>
            </w:pPr>
            <w:r w:rsidRPr="00C73B8E">
              <w:rPr>
                <w:rFonts w:ascii="Arial" w:hAnsi="Arial" w:cs="Arial"/>
                <w:sz w:val="24"/>
                <w:szCs w:val="24"/>
              </w:rPr>
              <w:t xml:space="preserve">Digital &amp; Data Transformation Committee highlight report (AAA) </w:t>
            </w:r>
          </w:p>
          <w:p w14:paraId="6D732F2E" w14:textId="77777777" w:rsidR="00C73B8E" w:rsidRDefault="00C73B8E" w:rsidP="00C73B8E">
            <w:pPr>
              <w:spacing w:after="0" w:line="240" w:lineRule="auto"/>
              <w:ind w:left="357"/>
              <w:rPr>
                <w:rFonts w:ascii="Arial" w:hAnsi="Arial" w:cs="Arial"/>
                <w:sz w:val="24"/>
                <w:szCs w:val="24"/>
              </w:rPr>
            </w:pPr>
          </w:p>
          <w:p w14:paraId="146B4223" w14:textId="72208F0C" w:rsidR="008044EB" w:rsidRPr="001B3110" w:rsidRDefault="008044EB" w:rsidP="00EF2A4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noProof/>
                <w:sz w:val="24"/>
              </w:rPr>
            </w:pPr>
            <w:r w:rsidRPr="0004212F">
              <w:rPr>
                <w:rFonts w:ascii="Arial" w:hAnsi="Arial" w:cs="Arial"/>
                <w:noProof/>
                <w:sz w:val="24"/>
              </w:rPr>
              <w:t>Review, challenge and assess the</w:t>
            </w:r>
            <w:r>
              <w:rPr>
                <w:rFonts w:ascii="Arial" w:hAnsi="Arial" w:cs="Arial"/>
                <w:noProof/>
                <w:sz w:val="24"/>
              </w:rPr>
              <w:t xml:space="preserve"> identification and management of</w:t>
            </w:r>
            <w:r w:rsidRPr="0004212F">
              <w:rPr>
                <w:rFonts w:ascii="Arial" w:hAnsi="Arial" w:cs="Arial"/>
                <w:noProof/>
                <w:sz w:val="24"/>
              </w:rPr>
              <w:t xml:space="preserve"> risks within the</w:t>
            </w:r>
            <w:r>
              <w:rPr>
                <w:rFonts w:ascii="Arial" w:hAnsi="Arial" w:cs="Arial"/>
                <w:noProof/>
                <w:sz w:val="24"/>
              </w:rPr>
              <w:t xml:space="preserve"> Committee’s</w:t>
            </w:r>
            <w:r w:rsidRPr="0004212F">
              <w:rPr>
                <w:rFonts w:ascii="Arial" w:hAnsi="Arial" w:cs="Arial"/>
                <w:noProof/>
                <w:sz w:val="24"/>
              </w:rPr>
              <w:t xml:space="preserve"> remit on the High Level Risk Register and the BAF, to provide </w:t>
            </w:r>
            <w:r w:rsidRPr="0004212F">
              <w:rPr>
                <w:rFonts w:ascii="Arial" w:hAnsi="Arial" w:cs="Arial"/>
                <w:color w:val="000000"/>
                <w:sz w:val="24"/>
              </w:rPr>
              <w:t xml:space="preserve">assurance to the Board that all </w:t>
            </w:r>
            <w:r w:rsidRPr="0004212F">
              <w:rPr>
                <w:rFonts w:ascii="Arial" w:hAnsi="Arial" w:cs="Arial"/>
                <w:color w:val="000000"/>
                <w:sz w:val="24"/>
              </w:rPr>
              <w:lastRenderedPageBreak/>
              <w:t>relevant risks are appropriately recognised and recorded, and that all appropriate actions are being taken within appropriate timescales where risks are not appropriately controlled.</w:t>
            </w:r>
            <w:r w:rsidR="00C01AC3">
              <w:rPr>
                <w:rFonts w:ascii="Arial" w:hAnsi="Arial" w:cs="Arial"/>
                <w:color w:val="000000"/>
                <w:sz w:val="24"/>
              </w:rPr>
              <w:t xml:space="preserve"> Reporting includes:</w:t>
            </w:r>
          </w:p>
          <w:p w14:paraId="75D67E55" w14:textId="77777777" w:rsidR="00C01AC3" w:rsidRDefault="00C01AC3" w:rsidP="00C01AC3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noProof/>
                <w:sz w:val="24"/>
              </w:rPr>
            </w:pPr>
          </w:p>
          <w:p w14:paraId="68C1618A" w14:textId="67D5575D" w:rsidR="00C01AC3" w:rsidRDefault="00C01AC3" w:rsidP="0066586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626" w:hanging="283"/>
              <w:contextualSpacing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Board Assurance Framework</w:t>
            </w:r>
          </w:p>
          <w:p w14:paraId="6A8E1BE7" w14:textId="738A1962" w:rsidR="00C01AC3" w:rsidRDefault="00C01AC3" w:rsidP="0066586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626" w:hanging="283"/>
              <w:contextualSpacing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High</w:t>
            </w:r>
            <w:r w:rsidR="0013617E"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t xml:space="preserve">Level Risk </w:t>
            </w:r>
            <w:r w:rsidR="0013617E">
              <w:rPr>
                <w:rFonts w:ascii="Arial" w:hAnsi="Arial" w:cs="Arial"/>
                <w:noProof/>
                <w:sz w:val="24"/>
              </w:rPr>
              <w:t>R</w:t>
            </w:r>
            <w:r>
              <w:rPr>
                <w:rFonts w:ascii="Arial" w:hAnsi="Arial" w:cs="Arial"/>
                <w:noProof/>
                <w:sz w:val="24"/>
              </w:rPr>
              <w:t>egister</w:t>
            </w:r>
          </w:p>
          <w:p w14:paraId="6061BB5A" w14:textId="77777777" w:rsidR="00C01AC3" w:rsidRDefault="00C01AC3" w:rsidP="00C01AC3">
            <w:pPr>
              <w:spacing w:after="0" w:line="240" w:lineRule="auto"/>
              <w:contextualSpacing/>
              <w:rPr>
                <w:rFonts w:ascii="Arial" w:hAnsi="Arial" w:cs="Arial"/>
                <w:noProof/>
                <w:color w:val="000000"/>
                <w:sz w:val="24"/>
              </w:rPr>
            </w:pPr>
          </w:p>
          <w:p w14:paraId="7EB1A1C7" w14:textId="639CBDA9" w:rsidR="00954CCD" w:rsidRDefault="00C01AC3" w:rsidP="00C01AC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Receive a quarterly insight report bringing data together relat</w:t>
            </w:r>
            <w:r w:rsidR="00954CCD">
              <w:rPr>
                <w:rFonts w:ascii="Arial" w:hAnsi="Arial" w:cs="Arial"/>
                <w:sz w:val="24"/>
                <w:szCs w:val="24"/>
              </w:rPr>
              <w:t>ing to</w:t>
            </w:r>
            <w:r w:rsidR="004830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CCD">
              <w:rPr>
                <w:rFonts w:ascii="Arial" w:hAnsi="Arial" w:cs="Arial"/>
                <w:sz w:val="24"/>
                <w:szCs w:val="24"/>
              </w:rPr>
              <w:t>claims, li</w:t>
            </w:r>
            <w:r w:rsidR="0013617E">
              <w:rPr>
                <w:rFonts w:ascii="Arial" w:hAnsi="Arial" w:cs="Arial"/>
                <w:sz w:val="24"/>
                <w:szCs w:val="24"/>
              </w:rPr>
              <w:t>ti</w:t>
            </w:r>
            <w:r w:rsidR="00954CCD">
              <w:rPr>
                <w:rFonts w:ascii="Arial" w:hAnsi="Arial" w:cs="Arial"/>
                <w:sz w:val="24"/>
                <w:szCs w:val="24"/>
              </w:rPr>
              <w:t>gation, inquest</w:t>
            </w:r>
            <w:r w:rsidR="00913717">
              <w:rPr>
                <w:rFonts w:ascii="Arial" w:hAnsi="Arial" w:cs="Arial"/>
                <w:sz w:val="24"/>
                <w:szCs w:val="24"/>
              </w:rPr>
              <w:t>s</w:t>
            </w:r>
            <w:r w:rsidR="00954CCD">
              <w:rPr>
                <w:rFonts w:ascii="Arial" w:hAnsi="Arial" w:cs="Arial"/>
                <w:sz w:val="24"/>
                <w:szCs w:val="24"/>
              </w:rPr>
              <w:t xml:space="preserve">, CQC </w:t>
            </w:r>
            <w:r w:rsidR="00913717">
              <w:rPr>
                <w:rFonts w:ascii="Arial" w:hAnsi="Arial" w:cs="Arial"/>
                <w:sz w:val="24"/>
                <w:szCs w:val="24"/>
              </w:rPr>
              <w:t>i</w:t>
            </w:r>
            <w:r w:rsidR="00954CCD">
              <w:rPr>
                <w:rFonts w:ascii="Arial" w:hAnsi="Arial" w:cs="Arial"/>
                <w:sz w:val="24"/>
                <w:szCs w:val="24"/>
              </w:rPr>
              <w:t xml:space="preserve">nquiries, </w:t>
            </w:r>
            <w:r w:rsidR="00913717">
              <w:rPr>
                <w:rFonts w:ascii="Arial" w:hAnsi="Arial" w:cs="Arial"/>
                <w:sz w:val="24"/>
                <w:szCs w:val="24"/>
              </w:rPr>
              <w:t>L</w:t>
            </w:r>
            <w:r w:rsidR="00954CCD">
              <w:rPr>
                <w:rFonts w:ascii="Arial" w:hAnsi="Arial" w:cs="Arial"/>
                <w:sz w:val="24"/>
                <w:szCs w:val="24"/>
              </w:rPr>
              <w:t xml:space="preserve">earning from </w:t>
            </w:r>
            <w:r w:rsidR="00913717">
              <w:rPr>
                <w:rFonts w:ascii="Arial" w:hAnsi="Arial" w:cs="Arial"/>
                <w:sz w:val="24"/>
                <w:szCs w:val="24"/>
              </w:rPr>
              <w:t>D</w:t>
            </w:r>
            <w:r w:rsidR="00954CCD">
              <w:rPr>
                <w:rFonts w:ascii="Arial" w:hAnsi="Arial" w:cs="Arial"/>
                <w:sz w:val="24"/>
                <w:szCs w:val="24"/>
              </w:rPr>
              <w:t xml:space="preserve">eaths </w:t>
            </w:r>
            <w:r w:rsidR="00913717">
              <w:rPr>
                <w:rFonts w:ascii="Arial" w:hAnsi="Arial" w:cs="Arial"/>
                <w:sz w:val="24"/>
                <w:szCs w:val="24"/>
              </w:rPr>
              <w:t>P</w:t>
            </w:r>
            <w:r w:rsidR="00954CCD">
              <w:rPr>
                <w:rFonts w:ascii="Arial" w:hAnsi="Arial" w:cs="Arial"/>
                <w:sz w:val="24"/>
                <w:szCs w:val="24"/>
              </w:rPr>
              <w:t>rogramme</w:t>
            </w:r>
            <w:r w:rsidR="00913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CCD">
              <w:rPr>
                <w:rFonts w:ascii="Arial" w:hAnsi="Arial" w:cs="Arial"/>
                <w:sz w:val="24"/>
                <w:szCs w:val="24"/>
              </w:rPr>
              <w:t>and triangulate with</w:t>
            </w:r>
            <w:r w:rsidR="00913717">
              <w:rPr>
                <w:rFonts w:ascii="Arial" w:hAnsi="Arial" w:cs="Arial"/>
                <w:sz w:val="24"/>
                <w:szCs w:val="24"/>
              </w:rPr>
              <w:t>, I</w:t>
            </w:r>
            <w:r w:rsidR="00954CCD">
              <w:rPr>
                <w:rFonts w:ascii="Arial" w:hAnsi="Arial" w:cs="Arial"/>
                <w:sz w:val="24"/>
                <w:szCs w:val="24"/>
              </w:rPr>
              <w:t>nc</w:t>
            </w:r>
            <w:r w:rsidR="00913717">
              <w:rPr>
                <w:rFonts w:ascii="Arial" w:hAnsi="Arial" w:cs="Arial"/>
                <w:sz w:val="24"/>
                <w:szCs w:val="24"/>
              </w:rPr>
              <w:t>i</w:t>
            </w:r>
            <w:r w:rsidR="00954CCD">
              <w:rPr>
                <w:rFonts w:ascii="Arial" w:hAnsi="Arial" w:cs="Arial"/>
                <w:sz w:val="24"/>
                <w:szCs w:val="24"/>
              </w:rPr>
              <w:t xml:space="preserve">dent reports, PALs and Complaints.  </w:t>
            </w:r>
          </w:p>
          <w:p w14:paraId="137B22B0" w14:textId="276A0245" w:rsidR="008044EB" w:rsidRPr="00C01AC3" w:rsidRDefault="008044EB" w:rsidP="00C01AC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01AC3">
              <w:rPr>
                <w:rFonts w:ascii="Arial" w:hAnsi="Arial" w:cs="Arial"/>
                <w:sz w:val="24"/>
                <w:szCs w:val="24"/>
              </w:rPr>
              <w:t>Receive highlight reports from the Clinical Outcomes Group about compliance with internal and external quality standards including benchmarking data</w:t>
            </w:r>
            <w:r w:rsidR="00954C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EE7102" w14:textId="77777777" w:rsidR="008044EB" w:rsidRPr="00975FF0" w:rsidRDefault="008044EB" w:rsidP="0013449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Receive highlight reports from the Patient Safety Group, identifying learning from patient safety incidents and have oversight of the quality improvement programmes associated with a positive patient safety culture.</w:t>
            </w:r>
          </w:p>
          <w:p w14:paraId="577246F9" w14:textId="16F03DC7" w:rsidR="008044EB" w:rsidRPr="001B3110" w:rsidRDefault="008044EB" w:rsidP="0013449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Receive highlight report from the Patient Experience </w:t>
            </w:r>
            <w:r w:rsidR="00954CCD">
              <w:rPr>
                <w:rFonts w:ascii="Arial" w:hAnsi="Arial" w:cs="Arial"/>
                <w:sz w:val="24"/>
              </w:rPr>
              <w:t>Group</w:t>
            </w:r>
            <w:r>
              <w:rPr>
                <w:rFonts w:ascii="Arial" w:hAnsi="Arial" w:cs="Arial"/>
                <w:sz w:val="24"/>
              </w:rPr>
              <w:t>, identifying learning from complaints and other sources of feedback.</w:t>
            </w:r>
            <w:r w:rsidR="00954CCD">
              <w:rPr>
                <w:rFonts w:ascii="Arial" w:hAnsi="Arial" w:cs="Arial"/>
                <w:sz w:val="24"/>
              </w:rPr>
              <w:t xml:space="preserve"> Reporting includes:</w:t>
            </w:r>
          </w:p>
          <w:p w14:paraId="1C007CA3" w14:textId="463B02A0" w:rsidR="00954CCD" w:rsidRDefault="00954CCD" w:rsidP="00665869">
            <w:pPr>
              <w:spacing w:after="0"/>
              <w:ind w:left="626" w:hanging="266"/>
              <w:rPr>
                <w:rFonts w:ascii="Arial" w:hAnsi="Arial" w:cs="Arial"/>
                <w:bCs/>
                <w:sz w:val="24"/>
              </w:rPr>
            </w:pPr>
            <w:r w:rsidRPr="001B3110">
              <w:rPr>
                <w:rFonts w:ascii="Arial" w:hAnsi="Arial" w:cs="Arial"/>
                <w:bCs/>
                <w:sz w:val="24"/>
              </w:rPr>
              <w:t xml:space="preserve">- </w:t>
            </w:r>
            <w:r w:rsidR="00665869">
              <w:rPr>
                <w:rFonts w:ascii="Arial" w:hAnsi="Arial" w:cs="Arial"/>
                <w:bCs/>
                <w:sz w:val="24"/>
              </w:rPr>
              <w:t xml:space="preserve">   </w:t>
            </w:r>
            <w:r>
              <w:rPr>
                <w:rFonts w:ascii="Arial" w:hAnsi="Arial" w:cs="Arial"/>
                <w:bCs/>
                <w:sz w:val="24"/>
              </w:rPr>
              <w:t>I</w:t>
            </w:r>
            <w:r w:rsidRPr="001B3110">
              <w:rPr>
                <w:rFonts w:ascii="Arial" w:hAnsi="Arial" w:cs="Arial"/>
                <w:bCs/>
                <w:sz w:val="24"/>
              </w:rPr>
              <w:t>npati</w:t>
            </w:r>
            <w:r>
              <w:rPr>
                <w:rFonts w:ascii="Arial" w:hAnsi="Arial" w:cs="Arial"/>
                <w:bCs/>
                <w:sz w:val="24"/>
              </w:rPr>
              <w:t>en</w:t>
            </w:r>
            <w:r w:rsidRPr="001B3110">
              <w:rPr>
                <w:rFonts w:ascii="Arial" w:hAnsi="Arial" w:cs="Arial"/>
                <w:bCs/>
                <w:sz w:val="24"/>
              </w:rPr>
              <w:t>t Survey</w:t>
            </w:r>
          </w:p>
          <w:p w14:paraId="2BC91593" w14:textId="2523D225" w:rsidR="00954CCD" w:rsidRPr="001B3110" w:rsidRDefault="00913717" w:rsidP="001B3110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Cs/>
                <w:sz w:val="24"/>
              </w:rPr>
            </w:pPr>
            <w:r w:rsidRPr="001B3110">
              <w:rPr>
                <w:rFonts w:ascii="Arial" w:hAnsi="Arial" w:cs="Arial"/>
                <w:bCs/>
                <w:sz w:val="24"/>
              </w:rPr>
              <w:t>P</w:t>
            </w:r>
            <w:r w:rsidR="00954CCD" w:rsidRPr="001B3110">
              <w:rPr>
                <w:rFonts w:ascii="Arial" w:hAnsi="Arial" w:cs="Arial"/>
                <w:bCs/>
                <w:sz w:val="24"/>
              </w:rPr>
              <w:t xml:space="preserve">atient </w:t>
            </w:r>
            <w:r>
              <w:rPr>
                <w:rFonts w:ascii="Arial" w:hAnsi="Arial" w:cs="Arial"/>
                <w:bCs/>
                <w:sz w:val="24"/>
              </w:rPr>
              <w:t>E</w:t>
            </w:r>
            <w:r w:rsidR="00954CCD" w:rsidRPr="001B3110">
              <w:rPr>
                <w:rFonts w:ascii="Arial" w:hAnsi="Arial" w:cs="Arial"/>
                <w:bCs/>
                <w:sz w:val="24"/>
              </w:rPr>
              <w:t>xperience bi</w:t>
            </w:r>
            <w:r>
              <w:rPr>
                <w:rFonts w:ascii="Arial" w:hAnsi="Arial" w:cs="Arial"/>
                <w:bCs/>
                <w:sz w:val="24"/>
              </w:rPr>
              <w:t>-</w:t>
            </w:r>
            <w:r w:rsidR="00954CCD" w:rsidRPr="001B3110">
              <w:rPr>
                <w:rFonts w:ascii="Arial" w:hAnsi="Arial" w:cs="Arial"/>
                <w:bCs/>
                <w:sz w:val="24"/>
              </w:rPr>
              <w:t>annual report</w:t>
            </w:r>
          </w:p>
          <w:p w14:paraId="26D03B7A" w14:textId="4105B207" w:rsidR="008044EB" w:rsidRPr="00954CCD" w:rsidRDefault="008044EB" w:rsidP="00055496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54CCD">
              <w:rPr>
                <w:rFonts w:ascii="Arial" w:hAnsi="Arial" w:cs="Arial"/>
                <w:sz w:val="24"/>
                <w:szCs w:val="24"/>
              </w:rPr>
              <w:t xml:space="preserve">Oversight of the </w:t>
            </w:r>
            <w:r w:rsidR="00954CCD" w:rsidRPr="00954CCD">
              <w:rPr>
                <w:rFonts w:ascii="Arial" w:hAnsi="Arial" w:cs="Arial"/>
                <w:sz w:val="24"/>
                <w:szCs w:val="24"/>
              </w:rPr>
              <w:t xml:space="preserve">delivery of the </w:t>
            </w:r>
            <w:r w:rsidRPr="00954CCD">
              <w:rPr>
                <w:rFonts w:ascii="Arial" w:hAnsi="Arial" w:cs="Arial"/>
                <w:sz w:val="24"/>
                <w:szCs w:val="24"/>
              </w:rPr>
              <w:t xml:space="preserve">Nursing &amp; Midwifery </w:t>
            </w:r>
            <w:r w:rsidR="00954CCD" w:rsidRPr="00954CCD">
              <w:rPr>
                <w:rFonts w:ascii="Arial" w:hAnsi="Arial" w:cs="Arial"/>
                <w:sz w:val="24"/>
                <w:szCs w:val="24"/>
              </w:rPr>
              <w:t>Strategy</w:t>
            </w:r>
            <w:r w:rsidR="00F43B6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467D34" w14:textId="77777777" w:rsidR="00954CCD" w:rsidRPr="00954CCD" w:rsidRDefault="00954CCD" w:rsidP="00055496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54CCD">
              <w:rPr>
                <w:rFonts w:ascii="Arial" w:hAnsi="Arial" w:cs="Arial"/>
                <w:sz w:val="24"/>
                <w:szCs w:val="24"/>
              </w:rPr>
              <w:t>Receive assurance of the Trust’s research activity.</w:t>
            </w:r>
          </w:p>
          <w:p w14:paraId="6A9A446E" w14:textId="67A19926" w:rsidR="00954CCD" w:rsidRPr="001B3110" w:rsidRDefault="00954CCD" w:rsidP="00055496">
            <w:pPr>
              <w:numPr>
                <w:ilvl w:val="0"/>
                <w:numId w:val="3"/>
              </w:numPr>
            </w:pPr>
            <w:r w:rsidRPr="001B3110">
              <w:rPr>
                <w:rFonts w:ascii="Arial" w:hAnsi="Arial" w:cs="Arial"/>
                <w:sz w:val="24"/>
                <w:szCs w:val="24"/>
              </w:rPr>
              <w:t>Receive assurance o</w:t>
            </w:r>
            <w:r w:rsidR="00913717">
              <w:rPr>
                <w:rFonts w:ascii="Arial" w:hAnsi="Arial" w:cs="Arial"/>
                <w:sz w:val="24"/>
                <w:szCs w:val="24"/>
              </w:rPr>
              <w:t>n</w:t>
            </w:r>
            <w:r w:rsidRPr="001B3110">
              <w:rPr>
                <w:rFonts w:ascii="Arial" w:hAnsi="Arial" w:cs="Arial"/>
                <w:sz w:val="24"/>
                <w:szCs w:val="24"/>
              </w:rPr>
              <w:t xml:space="preserve"> the programmes of work in place to tackle health inequalities</w:t>
            </w:r>
            <w:r w:rsidR="00B149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F67DBB" w14:textId="2DC67094" w:rsidR="009F527A" w:rsidRPr="001B3110" w:rsidRDefault="00F43B6B" w:rsidP="009F527A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="009F527A">
              <w:rPr>
                <w:rFonts w:ascii="Arial" w:hAnsi="Arial" w:cs="Arial"/>
                <w:sz w:val="24"/>
              </w:rPr>
              <w:t>pprove relevant policies as required on behalf of the Board of Directors.</w:t>
            </w:r>
          </w:p>
        </w:tc>
      </w:tr>
      <w:tr w:rsidR="00134497" w:rsidRPr="00134497" w14:paraId="00E4622E" w14:textId="77777777" w:rsidTr="00134497">
        <w:tc>
          <w:tcPr>
            <w:tcW w:w="1986" w:type="dxa"/>
          </w:tcPr>
          <w:p w14:paraId="5A398DBF" w14:textId="77777777" w:rsidR="00134497" w:rsidRPr="00D4608D" w:rsidRDefault="00546ED9" w:rsidP="00134497">
            <w:pPr>
              <w:rPr>
                <w:rFonts w:ascii="Arial" w:hAnsi="Arial" w:cs="Arial"/>
                <w:b/>
                <w:sz w:val="24"/>
              </w:rPr>
            </w:pPr>
            <w:r w:rsidRPr="00D4608D">
              <w:rPr>
                <w:rFonts w:ascii="Arial" w:hAnsi="Arial" w:cs="Arial"/>
                <w:b/>
                <w:sz w:val="24"/>
              </w:rPr>
              <w:lastRenderedPageBreak/>
              <w:t>Sub-Groups</w:t>
            </w:r>
          </w:p>
        </w:tc>
        <w:tc>
          <w:tcPr>
            <w:tcW w:w="7796" w:type="dxa"/>
            <w:gridSpan w:val="2"/>
          </w:tcPr>
          <w:p w14:paraId="7E799C26" w14:textId="77777777" w:rsidR="00665869" w:rsidRDefault="00D87F61" w:rsidP="0066586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43" w:hanging="343"/>
              <w:rPr>
                <w:rFonts w:ascii="Arial" w:hAnsi="Arial" w:cs="Arial"/>
                <w:sz w:val="24"/>
                <w:szCs w:val="24"/>
              </w:rPr>
            </w:pPr>
            <w:r w:rsidRPr="00665869">
              <w:rPr>
                <w:rFonts w:ascii="Arial" w:hAnsi="Arial" w:cs="Arial"/>
                <w:sz w:val="24"/>
                <w:szCs w:val="24"/>
              </w:rPr>
              <w:t>Patient Safety Group</w:t>
            </w:r>
          </w:p>
          <w:p w14:paraId="02D3FBC2" w14:textId="77777777" w:rsidR="00665869" w:rsidRDefault="00D87F61" w:rsidP="0066586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43" w:hanging="343"/>
              <w:rPr>
                <w:rFonts w:ascii="Arial" w:hAnsi="Arial" w:cs="Arial"/>
                <w:sz w:val="24"/>
                <w:szCs w:val="24"/>
              </w:rPr>
            </w:pPr>
            <w:r w:rsidRPr="00665869">
              <w:rPr>
                <w:rFonts w:ascii="Arial" w:hAnsi="Arial" w:cs="Arial"/>
                <w:sz w:val="24"/>
                <w:szCs w:val="24"/>
              </w:rPr>
              <w:t>Clinical Outcomes Group</w:t>
            </w:r>
          </w:p>
          <w:p w14:paraId="4B146562" w14:textId="77777777" w:rsidR="00665869" w:rsidRDefault="00AE218B" w:rsidP="0066586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43" w:hanging="343"/>
              <w:rPr>
                <w:rFonts w:ascii="Arial" w:hAnsi="Arial" w:cs="Arial"/>
                <w:sz w:val="24"/>
                <w:szCs w:val="24"/>
              </w:rPr>
            </w:pPr>
            <w:r w:rsidRPr="00665869">
              <w:rPr>
                <w:rFonts w:ascii="Arial" w:hAnsi="Arial" w:cs="Arial"/>
                <w:sz w:val="24"/>
                <w:szCs w:val="24"/>
              </w:rPr>
              <w:t>Patient Experience Group</w:t>
            </w:r>
          </w:p>
          <w:p w14:paraId="2EE93C14" w14:textId="121F0520" w:rsidR="00BC768C" w:rsidRPr="00665869" w:rsidRDefault="00AE218B" w:rsidP="0066586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43" w:hanging="343"/>
              <w:rPr>
                <w:rFonts w:ascii="Arial" w:hAnsi="Arial" w:cs="Arial"/>
                <w:sz w:val="24"/>
                <w:szCs w:val="24"/>
              </w:rPr>
            </w:pPr>
            <w:r w:rsidRPr="00665869">
              <w:rPr>
                <w:rFonts w:ascii="Arial" w:hAnsi="Arial" w:cs="Arial"/>
                <w:sz w:val="24"/>
                <w:szCs w:val="24"/>
              </w:rPr>
              <w:t xml:space="preserve">Integrated Safeguarding </w:t>
            </w:r>
            <w:r w:rsidR="00821D5A" w:rsidRPr="00665869">
              <w:rPr>
                <w:rFonts w:ascii="Arial" w:hAnsi="Arial" w:cs="Arial"/>
                <w:sz w:val="24"/>
                <w:szCs w:val="24"/>
              </w:rPr>
              <w:t>Group</w:t>
            </w:r>
          </w:p>
          <w:p w14:paraId="06F8290C" w14:textId="715398C8" w:rsidR="00116411" w:rsidRPr="00665869" w:rsidRDefault="00BC768C" w:rsidP="0066586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43" w:hanging="343"/>
              <w:rPr>
                <w:rFonts w:ascii="Arial" w:hAnsi="Arial" w:cs="Arial"/>
                <w:sz w:val="24"/>
                <w:szCs w:val="24"/>
              </w:rPr>
            </w:pPr>
            <w:r w:rsidRPr="00665869">
              <w:rPr>
                <w:rFonts w:ascii="Arial" w:hAnsi="Arial" w:cs="Arial"/>
                <w:sz w:val="24"/>
                <w:szCs w:val="24"/>
              </w:rPr>
              <w:t>Digital Strategy Group</w:t>
            </w:r>
          </w:p>
          <w:p w14:paraId="2CBD9AB2" w14:textId="6173905D" w:rsidR="004A5853" w:rsidRPr="004A5853" w:rsidRDefault="004A5853" w:rsidP="000554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ED9" w:rsidRPr="00134497" w14:paraId="7A73AF43" w14:textId="77777777" w:rsidTr="00134497">
        <w:tc>
          <w:tcPr>
            <w:tcW w:w="1986" w:type="dxa"/>
          </w:tcPr>
          <w:p w14:paraId="54972513" w14:textId="77777777" w:rsidR="00546ED9" w:rsidRPr="00134497" w:rsidRDefault="00546ED9" w:rsidP="0078050E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lastRenderedPageBreak/>
              <w:t>Chairing arrangements</w:t>
            </w:r>
          </w:p>
        </w:tc>
        <w:tc>
          <w:tcPr>
            <w:tcW w:w="7796" w:type="dxa"/>
            <w:gridSpan w:val="2"/>
          </w:tcPr>
          <w:p w14:paraId="60460D28" w14:textId="55CF0137" w:rsidR="001434A9" w:rsidRPr="00134497" w:rsidRDefault="00546ED9" w:rsidP="00E04BD5">
            <w:pPr>
              <w:rPr>
                <w:rFonts w:ascii="Arial" w:hAnsi="Arial" w:cs="Arial"/>
                <w:sz w:val="24"/>
              </w:rPr>
            </w:pPr>
            <w:r w:rsidRPr="00134497">
              <w:rPr>
                <w:rFonts w:ascii="Arial" w:hAnsi="Arial" w:cs="Arial"/>
                <w:sz w:val="24"/>
              </w:rPr>
              <w:t xml:space="preserve">The </w:t>
            </w:r>
            <w:r w:rsidR="004A552B">
              <w:rPr>
                <w:rFonts w:ascii="Arial" w:hAnsi="Arial" w:cs="Arial"/>
                <w:sz w:val="24"/>
              </w:rPr>
              <w:t>Committee</w:t>
            </w:r>
            <w:r w:rsidRPr="00134497">
              <w:rPr>
                <w:rFonts w:ascii="Arial" w:hAnsi="Arial" w:cs="Arial"/>
                <w:sz w:val="24"/>
              </w:rPr>
              <w:t xml:space="preserve"> will be chaired by </w:t>
            </w:r>
            <w:r w:rsidR="00D60AD7">
              <w:rPr>
                <w:rFonts w:ascii="Arial" w:hAnsi="Arial" w:cs="Arial"/>
                <w:sz w:val="24"/>
              </w:rPr>
              <w:t>a Non</w:t>
            </w:r>
            <w:r w:rsidR="00062158">
              <w:rPr>
                <w:rFonts w:ascii="Arial" w:hAnsi="Arial" w:cs="Arial"/>
                <w:sz w:val="24"/>
              </w:rPr>
              <w:t>-</w:t>
            </w:r>
            <w:r w:rsidR="00D60AD7">
              <w:rPr>
                <w:rFonts w:ascii="Arial" w:hAnsi="Arial" w:cs="Arial"/>
                <w:sz w:val="24"/>
              </w:rPr>
              <w:t>Executive Director</w:t>
            </w:r>
            <w:r w:rsidR="001434A9">
              <w:rPr>
                <w:rFonts w:ascii="Arial" w:hAnsi="Arial" w:cs="Arial"/>
                <w:sz w:val="24"/>
              </w:rPr>
              <w:t>.</w:t>
            </w:r>
          </w:p>
        </w:tc>
      </w:tr>
      <w:tr w:rsidR="005D1213" w:rsidRPr="00134497" w14:paraId="759392DC" w14:textId="77777777" w:rsidTr="00134497">
        <w:tc>
          <w:tcPr>
            <w:tcW w:w="1986" w:type="dxa"/>
          </w:tcPr>
          <w:p w14:paraId="4317A795" w14:textId="269E19E3" w:rsidR="005D1213" w:rsidRPr="00134497" w:rsidRDefault="004A552B" w:rsidP="0013449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Committee</w:t>
            </w:r>
            <w:r w:rsidR="005D1213">
              <w:rPr>
                <w:rFonts w:ascii="Arial" w:hAnsi="Arial" w:cs="Arial"/>
                <w:b/>
                <w:sz w:val="24"/>
              </w:rPr>
              <w:t xml:space="preserve"> </w:t>
            </w:r>
            <w:r w:rsidR="005D1213" w:rsidRPr="00134497">
              <w:rPr>
                <w:rFonts w:ascii="Arial" w:hAnsi="Arial" w:cs="Arial"/>
                <w:b/>
                <w:sz w:val="24"/>
              </w:rPr>
              <w:t>Membership</w:t>
            </w:r>
          </w:p>
        </w:tc>
        <w:tc>
          <w:tcPr>
            <w:tcW w:w="7796" w:type="dxa"/>
            <w:gridSpan w:val="2"/>
          </w:tcPr>
          <w:p w14:paraId="7D84DDE9" w14:textId="413B7240" w:rsidR="005D1213" w:rsidRDefault="00726675" w:rsidP="005D1213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Three </w:t>
            </w:r>
            <w:r w:rsidR="005D1213">
              <w:rPr>
                <w:rFonts w:ascii="Arial" w:hAnsi="Arial" w:cs="Arial"/>
                <w:sz w:val="24"/>
              </w:rPr>
              <w:t>Non-Executive Directors</w:t>
            </w:r>
            <w:r>
              <w:rPr>
                <w:rFonts w:ascii="Arial" w:hAnsi="Arial" w:cs="Arial"/>
                <w:sz w:val="24"/>
              </w:rPr>
              <w:t xml:space="preserve"> (including the Committee Chair)</w:t>
            </w:r>
          </w:p>
          <w:p w14:paraId="6D422B3A" w14:textId="77777777" w:rsidR="005D1213" w:rsidRDefault="005D1213" w:rsidP="005D1213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Chief Medical Officer </w:t>
            </w:r>
          </w:p>
          <w:p w14:paraId="291F11B2" w14:textId="77777777" w:rsidR="001F427C" w:rsidRDefault="005D1213" w:rsidP="00C36764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Chief Nurse</w:t>
            </w:r>
          </w:p>
          <w:p w14:paraId="1E814C61" w14:textId="42283198" w:rsidR="005D1213" w:rsidRDefault="001F427C" w:rsidP="00C36764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Director of Strategy and Transformation</w:t>
            </w:r>
            <w:r w:rsidR="005D1213">
              <w:rPr>
                <w:rFonts w:ascii="Arial" w:hAnsi="Arial" w:cs="Arial"/>
                <w:sz w:val="24"/>
              </w:rPr>
              <w:t xml:space="preserve"> </w:t>
            </w:r>
          </w:p>
          <w:p w14:paraId="45B83AB6" w14:textId="4B79B40B" w:rsidR="00954CCD" w:rsidRPr="005D1213" w:rsidRDefault="00954CCD" w:rsidP="00C36764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Chief Digital and Information Officer</w:t>
            </w:r>
          </w:p>
          <w:p w14:paraId="615BE5E6" w14:textId="77777777" w:rsidR="005D1213" w:rsidRDefault="005D1213" w:rsidP="005D1213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1D8F9F65" w14:textId="77777777" w:rsidR="005D1213" w:rsidRDefault="005D1213" w:rsidP="005D1213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Members are normally expected to attend at least 8 meetings during the year.</w:t>
            </w:r>
          </w:p>
          <w:p w14:paraId="29E29C51" w14:textId="77777777" w:rsidR="005D1213" w:rsidRPr="0022465D" w:rsidDel="005D1213" w:rsidRDefault="005D1213" w:rsidP="005D1213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5D1213" w:rsidRPr="00134497" w14:paraId="68A1FB3D" w14:textId="77777777" w:rsidTr="00134497">
        <w:tc>
          <w:tcPr>
            <w:tcW w:w="1986" w:type="dxa"/>
          </w:tcPr>
          <w:p w14:paraId="3975EE0B" w14:textId="77777777" w:rsidR="005D1213" w:rsidRPr="00134497" w:rsidDel="005D1213" w:rsidRDefault="005D1213" w:rsidP="005D1213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>In attendance</w:t>
            </w:r>
          </w:p>
        </w:tc>
        <w:tc>
          <w:tcPr>
            <w:tcW w:w="7796" w:type="dxa"/>
            <w:gridSpan w:val="2"/>
          </w:tcPr>
          <w:p w14:paraId="5739DD2C" w14:textId="33A216B6" w:rsidR="005D1213" w:rsidRDefault="005D1213" w:rsidP="005D121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Deputy Chief Medical Officer</w:t>
            </w:r>
            <w:r w:rsidR="00954CCD">
              <w:rPr>
                <w:rFonts w:ascii="Arial" w:hAnsi="Arial" w:cs="Arial"/>
                <w:sz w:val="24"/>
              </w:rPr>
              <w:t>s</w:t>
            </w:r>
          </w:p>
          <w:p w14:paraId="630B0CDA" w14:textId="77777777" w:rsidR="005D1213" w:rsidRDefault="005D1213" w:rsidP="005D121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Associate Director of Quality</w:t>
            </w:r>
          </w:p>
          <w:p w14:paraId="1F368168" w14:textId="77777777" w:rsidR="005D1213" w:rsidRDefault="005D1213" w:rsidP="005D121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Deputy Chief Nurse</w:t>
            </w:r>
            <w:r w:rsidR="007A2341">
              <w:rPr>
                <w:rFonts w:ascii="Arial" w:hAnsi="Arial" w:cs="Arial"/>
                <w:sz w:val="24"/>
              </w:rPr>
              <w:t xml:space="preserve"> </w:t>
            </w:r>
          </w:p>
          <w:p w14:paraId="3920395B" w14:textId="7D680EAE" w:rsidR="00F43B6B" w:rsidRDefault="00F43B6B" w:rsidP="005D121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Patient Safety Partner</w:t>
            </w:r>
          </w:p>
          <w:p w14:paraId="090F255D" w14:textId="3834AB98" w:rsidR="005D1213" w:rsidRDefault="005D1213" w:rsidP="005D121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Director of Midwifery</w:t>
            </w:r>
            <w:r w:rsidR="007A2341">
              <w:rPr>
                <w:rFonts w:ascii="Arial" w:hAnsi="Arial" w:cs="Arial"/>
                <w:sz w:val="24"/>
              </w:rPr>
              <w:t xml:space="preserve"> </w:t>
            </w:r>
          </w:p>
          <w:p w14:paraId="6406EBD4" w14:textId="41D83C4D" w:rsidR="003E0C5E" w:rsidRPr="003E0C5E" w:rsidRDefault="005D1213" w:rsidP="003E0C5E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Associate Director of Corporate Governance/Board Secretary</w:t>
            </w:r>
          </w:p>
          <w:p w14:paraId="75E5BB1F" w14:textId="4BE868B3" w:rsidR="005D1213" w:rsidRPr="00CC6AB2" w:rsidRDefault="005D1213" w:rsidP="005D121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8"/>
              </w:rPr>
            </w:pPr>
            <w:r w:rsidRPr="00CC6AB2">
              <w:rPr>
                <w:rFonts w:ascii="Arial" w:hAnsi="Arial" w:cs="Arial"/>
                <w:sz w:val="24"/>
              </w:rPr>
              <w:t>Associate Director of Nursing &amp; Quality</w:t>
            </w:r>
            <w:r w:rsidR="00D732C3">
              <w:rPr>
                <w:rFonts w:ascii="Arial" w:hAnsi="Arial" w:cs="Arial"/>
                <w:sz w:val="24"/>
              </w:rPr>
              <w:t>,</w:t>
            </w:r>
            <w:r w:rsidRPr="00CC6AB2">
              <w:rPr>
                <w:rFonts w:ascii="Arial" w:hAnsi="Arial" w:cs="Arial"/>
                <w:sz w:val="24"/>
              </w:rPr>
              <w:t xml:space="preserve"> Bradford District and Craven Health and Care Partnership</w:t>
            </w:r>
          </w:p>
          <w:p w14:paraId="3D91AC4A" w14:textId="0AAD4CD9" w:rsidR="00D732C3" w:rsidRPr="00665869" w:rsidRDefault="005D1213" w:rsidP="00665869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Head of Corporate Governance</w:t>
            </w:r>
          </w:p>
          <w:p w14:paraId="188B6B27" w14:textId="77777777" w:rsidR="005D1213" w:rsidRPr="00E5207E" w:rsidRDefault="005D1213" w:rsidP="005D1213">
            <w:pPr>
              <w:numPr>
                <w:ilvl w:val="0"/>
                <w:numId w:val="2"/>
              </w:numPr>
              <w:spacing w:after="0"/>
              <w:rPr>
                <w:rFonts w:ascii="Arial" w:hAnsi="Arial"/>
                <w:i/>
                <w:sz w:val="24"/>
              </w:rPr>
            </w:pPr>
            <w:r w:rsidRPr="00E5207E">
              <w:rPr>
                <w:rFonts w:ascii="Arial" w:hAnsi="Arial"/>
                <w:i/>
                <w:sz w:val="24"/>
              </w:rPr>
              <w:t>Any member of staff seeking development opportunities in relation to their role and portfolio.</w:t>
            </w:r>
          </w:p>
          <w:p w14:paraId="39D1CF6D" w14:textId="142B2249" w:rsidR="00D732C3" w:rsidRPr="00E5207E" w:rsidRDefault="005D1213" w:rsidP="00D732C3">
            <w:pPr>
              <w:numPr>
                <w:ilvl w:val="0"/>
                <w:numId w:val="2"/>
              </w:numPr>
              <w:spacing w:after="0"/>
              <w:rPr>
                <w:rFonts w:ascii="Arial" w:hAnsi="Arial"/>
                <w:i/>
                <w:sz w:val="24"/>
              </w:rPr>
            </w:pPr>
            <w:r w:rsidRPr="00E5207E">
              <w:rPr>
                <w:rFonts w:ascii="Arial" w:hAnsi="Arial"/>
                <w:i/>
                <w:sz w:val="24"/>
              </w:rPr>
              <w:t>Any non-member NED.</w:t>
            </w:r>
          </w:p>
          <w:p w14:paraId="410F4EF5" w14:textId="214AED47" w:rsidR="00D732C3" w:rsidRDefault="00D732C3" w:rsidP="00D732C3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r w:rsidR="004A552B">
              <w:rPr>
                <w:rFonts w:ascii="Arial" w:hAnsi="Arial" w:cs="Arial"/>
                <w:sz w:val="24"/>
              </w:rPr>
              <w:t>Committee</w:t>
            </w:r>
            <w:r>
              <w:rPr>
                <w:rFonts w:ascii="Arial" w:hAnsi="Arial" w:cs="Arial"/>
                <w:sz w:val="24"/>
              </w:rPr>
              <w:t xml:space="preserve"> may invite other employees or external advisors to attend or observe as appropriate</w:t>
            </w:r>
          </w:p>
          <w:p w14:paraId="0354D5FD" w14:textId="77777777" w:rsidR="005D1213" w:rsidDel="005D1213" w:rsidRDefault="005D1213" w:rsidP="00D732C3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546ED9" w:rsidRPr="00134497" w14:paraId="389ADB51" w14:textId="77777777" w:rsidTr="00134497">
        <w:tc>
          <w:tcPr>
            <w:tcW w:w="1986" w:type="dxa"/>
          </w:tcPr>
          <w:p w14:paraId="29303313" w14:textId="77777777" w:rsidR="00546ED9" w:rsidRPr="00134497" w:rsidRDefault="00546ED9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>Secretary</w:t>
            </w:r>
          </w:p>
        </w:tc>
        <w:tc>
          <w:tcPr>
            <w:tcW w:w="7796" w:type="dxa"/>
            <w:gridSpan w:val="2"/>
          </w:tcPr>
          <w:p w14:paraId="39241733" w14:textId="77777777" w:rsidR="00546ED9" w:rsidRPr="00134497" w:rsidRDefault="00546ED9" w:rsidP="00AF52E1">
            <w:pPr>
              <w:rPr>
                <w:rFonts w:ascii="Arial" w:hAnsi="Arial" w:cs="Arial"/>
                <w:sz w:val="24"/>
              </w:rPr>
            </w:pPr>
            <w:r w:rsidRPr="00134497">
              <w:rPr>
                <w:rFonts w:ascii="Arial" w:hAnsi="Arial" w:cs="Arial"/>
                <w:sz w:val="24"/>
              </w:rPr>
              <w:t xml:space="preserve">Secretarial support will be provided by the Executive Assistant to the </w:t>
            </w:r>
            <w:r w:rsidR="00AF52E1">
              <w:rPr>
                <w:rFonts w:ascii="Arial" w:hAnsi="Arial" w:cs="Arial"/>
                <w:sz w:val="24"/>
              </w:rPr>
              <w:t>Chief Nurse/Chief Medical Officer</w:t>
            </w:r>
            <w:r w:rsidR="003003D1">
              <w:rPr>
                <w:rFonts w:ascii="Arial" w:hAnsi="Arial" w:cs="Arial"/>
                <w:sz w:val="24"/>
              </w:rPr>
              <w:t>.</w:t>
            </w:r>
          </w:p>
        </w:tc>
      </w:tr>
      <w:tr w:rsidR="00546ED9" w:rsidRPr="00134497" w14:paraId="513F0FB5" w14:textId="77777777" w:rsidTr="00134497">
        <w:tc>
          <w:tcPr>
            <w:tcW w:w="1986" w:type="dxa"/>
          </w:tcPr>
          <w:p w14:paraId="27DC7976" w14:textId="77777777" w:rsidR="00546ED9" w:rsidRPr="00134497" w:rsidRDefault="00546ED9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>Quorum</w:t>
            </w:r>
          </w:p>
        </w:tc>
        <w:tc>
          <w:tcPr>
            <w:tcW w:w="7796" w:type="dxa"/>
            <w:gridSpan w:val="2"/>
          </w:tcPr>
          <w:p w14:paraId="502C5ED6" w14:textId="77777777" w:rsidR="00546ED9" w:rsidRPr="00134497" w:rsidRDefault="000D4400" w:rsidP="00D949BC">
            <w:pPr>
              <w:rPr>
                <w:rFonts w:ascii="Arial" w:hAnsi="Arial" w:cs="Arial"/>
                <w:sz w:val="24"/>
              </w:rPr>
            </w:pPr>
            <w:r w:rsidRPr="009C373E">
              <w:rPr>
                <w:rFonts w:ascii="Arial" w:hAnsi="Arial" w:cs="Arial"/>
                <w:sz w:val="24"/>
              </w:rPr>
              <w:t xml:space="preserve">A minimum of </w:t>
            </w:r>
            <w:r>
              <w:rPr>
                <w:rFonts w:ascii="Arial" w:hAnsi="Arial" w:cs="Arial"/>
                <w:sz w:val="24"/>
              </w:rPr>
              <w:t>three members</w:t>
            </w:r>
            <w:r w:rsidRPr="009C373E">
              <w:rPr>
                <w:rFonts w:ascii="Arial" w:hAnsi="Arial" w:cs="Arial"/>
                <w:sz w:val="24"/>
              </w:rPr>
              <w:t>, including</w:t>
            </w:r>
            <w:r>
              <w:rPr>
                <w:rFonts w:ascii="Arial" w:hAnsi="Arial" w:cs="Arial"/>
                <w:sz w:val="24"/>
              </w:rPr>
              <w:t xml:space="preserve"> at least two NEDs and </w:t>
            </w:r>
            <w:r w:rsidRPr="009C373E">
              <w:rPr>
                <w:rFonts w:ascii="Arial" w:hAnsi="Arial" w:cs="Arial"/>
                <w:sz w:val="24"/>
              </w:rPr>
              <w:t>at least one Executive Director.</w:t>
            </w:r>
          </w:p>
        </w:tc>
      </w:tr>
      <w:tr w:rsidR="00546ED9" w:rsidRPr="00134497" w14:paraId="244F9432" w14:textId="77777777" w:rsidTr="00134497">
        <w:tc>
          <w:tcPr>
            <w:tcW w:w="1986" w:type="dxa"/>
          </w:tcPr>
          <w:p w14:paraId="7B4A7608" w14:textId="77777777" w:rsidR="00546ED9" w:rsidRPr="00134497" w:rsidRDefault="00546ED9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>Frequency of meetings</w:t>
            </w:r>
          </w:p>
        </w:tc>
        <w:tc>
          <w:tcPr>
            <w:tcW w:w="7796" w:type="dxa"/>
            <w:gridSpan w:val="2"/>
          </w:tcPr>
          <w:p w14:paraId="01D9361D" w14:textId="77777777" w:rsidR="00913717" w:rsidRPr="009C373E" w:rsidRDefault="00913717" w:rsidP="00913717">
            <w:pPr>
              <w:rPr>
                <w:rFonts w:ascii="Arial" w:hAnsi="Arial" w:cs="Arial"/>
                <w:sz w:val="24"/>
              </w:rPr>
            </w:pPr>
            <w:r w:rsidRPr="009C373E">
              <w:rPr>
                <w:rFonts w:ascii="Arial" w:hAnsi="Arial" w:cs="Arial"/>
                <w:sz w:val="24"/>
              </w:rPr>
              <w:t>Monthly (except August and December)</w:t>
            </w:r>
          </w:p>
          <w:p w14:paraId="37A5D910" w14:textId="2D853EE4" w:rsidR="00913717" w:rsidRDefault="00913717" w:rsidP="0091371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2ADB">
              <w:rPr>
                <w:rFonts w:ascii="Arial" w:hAnsi="Arial" w:cs="Arial"/>
                <w:sz w:val="24"/>
                <w:szCs w:val="24"/>
                <w:lang w:val="en-US"/>
              </w:rPr>
              <w:t xml:space="preserve">With the agreement of the Chair Committee members may participate in meetings of the Committee by means of remote access (by way of telephone, video or computer link or otherwise) </w:t>
            </w:r>
            <w:proofErr w:type="gramStart"/>
            <w:r w:rsidRPr="00732ADB">
              <w:rPr>
                <w:rFonts w:ascii="Arial" w:hAnsi="Arial" w:cs="Arial"/>
                <w:sz w:val="24"/>
                <w:szCs w:val="24"/>
                <w:lang w:val="en-US"/>
              </w:rPr>
              <w:t>provided that</w:t>
            </w:r>
            <w:proofErr w:type="gramEnd"/>
            <w:r w:rsidRPr="00732ADB">
              <w:rPr>
                <w:rFonts w:ascii="Arial" w:hAnsi="Arial" w:cs="Arial"/>
                <w:sz w:val="24"/>
                <w:szCs w:val="24"/>
                <w:lang w:val="en-US"/>
              </w:rPr>
              <w:t xml:space="preserve"> they can hear, be heard and vote at the meeting in real time. Normal rules relating to quoracy will apply to the functioning of such a meeting.  For </w:t>
            </w:r>
            <w:r w:rsidRPr="00732AD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the avoidance of doubt, presence at a meeting by remote access shall constitute presence at a meeting in person, for the purposes of quoracy.</w:t>
            </w:r>
          </w:p>
          <w:p w14:paraId="431E3802" w14:textId="77777777" w:rsidR="00E5207E" w:rsidRPr="00732ADB" w:rsidRDefault="00E5207E" w:rsidP="0091371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802671" w14:textId="395C1D2D" w:rsidR="008D63E7" w:rsidRPr="00134497" w:rsidRDefault="008D63E7" w:rsidP="008D63E7">
            <w:pPr>
              <w:rPr>
                <w:rFonts w:ascii="Arial" w:hAnsi="Arial" w:cs="Arial"/>
                <w:sz w:val="24"/>
              </w:rPr>
            </w:pPr>
            <w:r w:rsidRPr="008D63E7">
              <w:rPr>
                <w:rFonts w:ascii="Arial" w:hAnsi="Arial" w:cs="Arial"/>
                <w:sz w:val="24"/>
                <w:lang w:eastAsia="en-GB"/>
              </w:rPr>
              <w:t>Normal rules relating to quoracy will apply to such meetings. These meetings will be deemed as standard meetings of the Committee.</w:t>
            </w:r>
          </w:p>
        </w:tc>
      </w:tr>
      <w:tr w:rsidR="00546ED9" w:rsidRPr="00134497" w14:paraId="50CE06C1" w14:textId="77777777" w:rsidTr="00134497">
        <w:tc>
          <w:tcPr>
            <w:tcW w:w="1986" w:type="dxa"/>
          </w:tcPr>
          <w:p w14:paraId="1BF4FF29" w14:textId="77777777" w:rsidR="00546ED9" w:rsidRPr="00134497" w:rsidRDefault="00546ED9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lastRenderedPageBreak/>
              <w:t>Circulation of papers</w:t>
            </w:r>
          </w:p>
        </w:tc>
        <w:tc>
          <w:tcPr>
            <w:tcW w:w="7796" w:type="dxa"/>
            <w:gridSpan w:val="2"/>
          </w:tcPr>
          <w:p w14:paraId="20ED75D4" w14:textId="1DD81FFE" w:rsidR="00546ED9" w:rsidRPr="001434A9" w:rsidRDefault="001434A9" w:rsidP="0014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434A9">
              <w:rPr>
                <w:rFonts w:ascii="Arial" w:hAnsi="Arial" w:cs="Arial"/>
                <w:sz w:val="24"/>
                <w:szCs w:val="24"/>
                <w:lang w:eastAsia="en-GB"/>
              </w:rPr>
              <w:t xml:space="preserve">Papers will be distributed a minimum of </w:t>
            </w:r>
            <w:r w:rsidR="00913717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three </w:t>
            </w:r>
            <w:r w:rsidRPr="001434A9">
              <w:rPr>
                <w:rFonts w:ascii="Arial" w:hAnsi="Arial" w:cs="Arial"/>
                <w:sz w:val="24"/>
                <w:szCs w:val="24"/>
                <w:lang w:eastAsia="en-GB"/>
              </w:rPr>
              <w:t>clear working days in advance of the meeting.</w:t>
            </w:r>
          </w:p>
        </w:tc>
      </w:tr>
      <w:tr w:rsidR="00546ED9" w:rsidRPr="00134497" w14:paraId="27BAFEF4" w14:textId="77777777" w:rsidTr="00134497">
        <w:tc>
          <w:tcPr>
            <w:tcW w:w="1986" w:type="dxa"/>
          </w:tcPr>
          <w:p w14:paraId="0AE5F18F" w14:textId="77777777" w:rsidR="00546ED9" w:rsidRPr="00134497" w:rsidRDefault="00546ED9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>Reporting</w:t>
            </w:r>
          </w:p>
        </w:tc>
        <w:tc>
          <w:tcPr>
            <w:tcW w:w="7796" w:type="dxa"/>
            <w:gridSpan w:val="2"/>
          </w:tcPr>
          <w:p w14:paraId="3270AD74" w14:textId="42C12D4D" w:rsidR="009D3645" w:rsidRPr="00456AA6" w:rsidRDefault="00546ED9" w:rsidP="00D60AD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Chair of the </w:t>
            </w:r>
            <w:r w:rsidR="004A552B">
              <w:rPr>
                <w:rFonts w:ascii="Arial" w:hAnsi="Arial" w:cs="Arial"/>
                <w:sz w:val="24"/>
                <w:szCs w:val="24"/>
                <w:lang w:eastAsia="en-GB"/>
              </w:rPr>
              <w:t>Committee</w:t>
            </w:r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is responsible for reporting to the </w:t>
            </w:r>
            <w:r w:rsidR="00D60AD7">
              <w:rPr>
                <w:rFonts w:ascii="Arial" w:hAnsi="Arial" w:cs="Arial"/>
                <w:sz w:val="24"/>
                <w:szCs w:val="24"/>
                <w:lang w:eastAsia="en-GB"/>
              </w:rPr>
              <w:t>Trust Board</w:t>
            </w:r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on those matters covered by these terms of reference through a regular written report. The Chair of the </w:t>
            </w:r>
            <w:r w:rsidR="004A552B">
              <w:rPr>
                <w:rFonts w:ascii="Arial" w:hAnsi="Arial" w:cs="Arial"/>
                <w:sz w:val="24"/>
                <w:szCs w:val="24"/>
                <w:lang w:eastAsia="en-GB"/>
              </w:rPr>
              <w:t>Committee</w:t>
            </w:r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shall draw to the attention of the </w:t>
            </w:r>
            <w:r w:rsidR="00D60AD7">
              <w:rPr>
                <w:rFonts w:ascii="Arial" w:hAnsi="Arial" w:cs="Arial"/>
                <w:sz w:val="24"/>
                <w:szCs w:val="24"/>
                <w:lang w:eastAsia="en-GB"/>
              </w:rPr>
              <w:t xml:space="preserve">Trust Board </w:t>
            </w:r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 xml:space="preserve">any issues that require </w:t>
            </w:r>
            <w:r w:rsidR="00665869" w:rsidRPr="00134497">
              <w:rPr>
                <w:rFonts w:ascii="Arial" w:hAnsi="Arial" w:cs="Arial"/>
                <w:sz w:val="24"/>
                <w:szCs w:val="24"/>
                <w:lang w:eastAsia="en-GB"/>
              </w:rPr>
              <w:t>disclosure or</w:t>
            </w:r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may require executive action. The </w:t>
            </w:r>
            <w:r w:rsidR="004A552B">
              <w:rPr>
                <w:rFonts w:ascii="Arial" w:hAnsi="Arial" w:cs="Arial"/>
                <w:sz w:val="24"/>
                <w:szCs w:val="24"/>
                <w:lang w:eastAsia="en-GB"/>
              </w:rPr>
              <w:t>Committee</w:t>
            </w:r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will present a written annual report to the </w:t>
            </w:r>
            <w:r w:rsidR="00D60AD7">
              <w:rPr>
                <w:rFonts w:ascii="Arial" w:hAnsi="Arial" w:cs="Arial"/>
                <w:sz w:val="24"/>
                <w:szCs w:val="24"/>
                <w:lang w:eastAsia="en-GB"/>
              </w:rPr>
              <w:t>Trust Board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 xml:space="preserve">summarising the work carried out during the financial year and outlining its work </w:t>
            </w:r>
            <w:proofErr w:type="gramStart"/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>plan for the future</w:t>
            </w:r>
            <w:proofErr w:type="gramEnd"/>
            <w:r w:rsidRPr="0013449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year.</w:t>
            </w:r>
          </w:p>
        </w:tc>
      </w:tr>
      <w:tr w:rsidR="00546ED9" w:rsidRPr="00134497" w14:paraId="0A75A0E5" w14:textId="77777777" w:rsidTr="00546ED9">
        <w:tc>
          <w:tcPr>
            <w:tcW w:w="4821" w:type="dxa"/>
            <w:gridSpan w:val="2"/>
          </w:tcPr>
          <w:p w14:paraId="4BD398E0" w14:textId="59896F0F" w:rsidR="00546ED9" w:rsidRPr="00134497" w:rsidRDefault="00546ED9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 xml:space="preserve">Date agreed by the </w:t>
            </w:r>
            <w:r w:rsidR="004A552B">
              <w:rPr>
                <w:rFonts w:ascii="Arial" w:hAnsi="Arial" w:cs="Arial"/>
                <w:b/>
                <w:sz w:val="24"/>
              </w:rPr>
              <w:t>Committee</w:t>
            </w:r>
            <w:r w:rsidRPr="0013449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961" w:type="dxa"/>
          </w:tcPr>
          <w:p w14:paraId="0F9CB919" w14:textId="54B2F6BC" w:rsidR="00546ED9" w:rsidRPr="00134497" w:rsidRDefault="0020778A" w:rsidP="00BC3C2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April 2026</w:t>
            </w:r>
          </w:p>
        </w:tc>
      </w:tr>
      <w:tr w:rsidR="00546ED9" w:rsidRPr="00134497" w14:paraId="1EB65759" w14:textId="77777777" w:rsidTr="00676ADD">
        <w:trPr>
          <w:trHeight w:val="672"/>
        </w:trPr>
        <w:tc>
          <w:tcPr>
            <w:tcW w:w="4821" w:type="dxa"/>
            <w:gridSpan w:val="2"/>
          </w:tcPr>
          <w:p w14:paraId="5DAA1621" w14:textId="77777777" w:rsidR="00546ED9" w:rsidRPr="00134497" w:rsidRDefault="00546ED9" w:rsidP="00D60AD7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 xml:space="preserve">Date approved by the </w:t>
            </w:r>
            <w:r w:rsidR="00D60AD7">
              <w:rPr>
                <w:rFonts w:ascii="Arial" w:hAnsi="Arial" w:cs="Arial"/>
                <w:b/>
                <w:sz w:val="24"/>
              </w:rPr>
              <w:t>Trust Board</w:t>
            </w:r>
            <w:r w:rsidRPr="0013449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961" w:type="dxa"/>
          </w:tcPr>
          <w:p w14:paraId="611FDEE1" w14:textId="6F874C10" w:rsidR="00546ED9" w:rsidRPr="00134497" w:rsidRDefault="0020778A" w:rsidP="00F2002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 May 2026</w:t>
            </w:r>
          </w:p>
        </w:tc>
      </w:tr>
      <w:tr w:rsidR="00546ED9" w:rsidRPr="00134497" w14:paraId="0088C778" w14:textId="77777777" w:rsidTr="00546ED9">
        <w:tc>
          <w:tcPr>
            <w:tcW w:w="4821" w:type="dxa"/>
            <w:gridSpan w:val="2"/>
          </w:tcPr>
          <w:p w14:paraId="5441C39A" w14:textId="77777777" w:rsidR="00546ED9" w:rsidRPr="00134497" w:rsidRDefault="00546ED9" w:rsidP="00134497">
            <w:pPr>
              <w:rPr>
                <w:rFonts w:ascii="Arial" w:hAnsi="Arial" w:cs="Arial"/>
                <w:b/>
                <w:sz w:val="24"/>
              </w:rPr>
            </w:pPr>
            <w:r w:rsidRPr="00134497">
              <w:rPr>
                <w:rFonts w:ascii="Arial" w:hAnsi="Arial" w:cs="Arial"/>
                <w:b/>
                <w:sz w:val="24"/>
              </w:rPr>
              <w:t>Review date:</w:t>
            </w:r>
          </w:p>
        </w:tc>
        <w:tc>
          <w:tcPr>
            <w:tcW w:w="4961" w:type="dxa"/>
          </w:tcPr>
          <w:p w14:paraId="79F9D5B7" w14:textId="62DCA6CA" w:rsidR="00546ED9" w:rsidRPr="00134497" w:rsidRDefault="00913717" w:rsidP="000B6E1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May </w:t>
            </w:r>
            <w:r w:rsidR="00F57E3B">
              <w:rPr>
                <w:rFonts w:ascii="Arial" w:hAnsi="Arial" w:cs="Arial"/>
                <w:sz w:val="24"/>
              </w:rPr>
              <w:t>2027</w:t>
            </w:r>
          </w:p>
        </w:tc>
      </w:tr>
    </w:tbl>
    <w:p w14:paraId="1A58EEFC" w14:textId="77777777" w:rsidR="00134497" w:rsidRPr="00134497" w:rsidRDefault="00134497" w:rsidP="00676ADD">
      <w:pPr>
        <w:rPr>
          <w:rFonts w:ascii="Arial" w:hAnsi="Arial" w:cs="Arial"/>
          <w:b/>
          <w:sz w:val="24"/>
        </w:rPr>
      </w:pPr>
    </w:p>
    <w:sectPr w:rsidR="00134497" w:rsidRPr="0013449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99E0" w14:textId="77777777" w:rsidR="00AE59AE" w:rsidRDefault="00AE59AE" w:rsidP="00134497">
      <w:pPr>
        <w:spacing w:after="0" w:line="240" w:lineRule="auto"/>
      </w:pPr>
      <w:r>
        <w:separator/>
      </w:r>
    </w:p>
  </w:endnote>
  <w:endnote w:type="continuationSeparator" w:id="0">
    <w:p w14:paraId="50B7820F" w14:textId="77777777" w:rsidR="00AE59AE" w:rsidRDefault="00AE59AE" w:rsidP="00134497">
      <w:pPr>
        <w:spacing w:after="0" w:line="240" w:lineRule="auto"/>
      </w:pPr>
      <w:r>
        <w:continuationSeparator/>
      </w:r>
    </w:p>
  </w:endnote>
  <w:endnote w:type="continuationNotice" w:id="1">
    <w:p w14:paraId="05BAF6AC" w14:textId="77777777" w:rsidR="00AE59AE" w:rsidRDefault="00AE5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76D4" w14:textId="77777777" w:rsidR="009446F7" w:rsidRPr="00134497" w:rsidRDefault="009446F7">
    <w:pPr>
      <w:pStyle w:val="Footer"/>
      <w:jc w:val="right"/>
      <w:rPr>
        <w:rFonts w:ascii="Arial" w:hAnsi="Arial" w:cs="Arial"/>
      </w:rPr>
    </w:pPr>
    <w:r w:rsidRPr="00134497">
      <w:rPr>
        <w:rFonts w:ascii="Arial" w:hAnsi="Arial" w:cs="Arial"/>
      </w:rPr>
      <w:fldChar w:fldCharType="begin"/>
    </w:r>
    <w:r w:rsidRPr="00134497">
      <w:rPr>
        <w:rFonts w:ascii="Arial" w:hAnsi="Arial" w:cs="Arial"/>
      </w:rPr>
      <w:instrText xml:space="preserve"> PAGE   \* MERGEFORMAT </w:instrText>
    </w:r>
    <w:r w:rsidRPr="00134497">
      <w:rPr>
        <w:rFonts w:ascii="Arial" w:hAnsi="Arial" w:cs="Arial"/>
      </w:rPr>
      <w:fldChar w:fldCharType="separate"/>
    </w:r>
    <w:r w:rsidR="006D47A2">
      <w:rPr>
        <w:rFonts w:ascii="Arial" w:hAnsi="Arial" w:cs="Arial"/>
        <w:noProof/>
      </w:rPr>
      <w:t>7</w:t>
    </w:r>
    <w:r w:rsidRPr="00134497">
      <w:rPr>
        <w:rFonts w:ascii="Arial" w:hAnsi="Arial" w:cs="Arial"/>
        <w:noProof/>
      </w:rPr>
      <w:fldChar w:fldCharType="end"/>
    </w:r>
  </w:p>
  <w:p w14:paraId="271790A3" w14:textId="77777777" w:rsidR="009446F7" w:rsidRDefault="00944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4295" w14:textId="77777777" w:rsidR="00AE59AE" w:rsidRDefault="00AE59AE" w:rsidP="00134497">
      <w:pPr>
        <w:spacing w:after="0" w:line="240" w:lineRule="auto"/>
      </w:pPr>
      <w:r>
        <w:separator/>
      </w:r>
    </w:p>
  </w:footnote>
  <w:footnote w:type="continuationSeparator" w:id="0">
    <w:p w14:paraId="3D590263" w14:textId="77777777" w:rsidR="00AE59AE" w:rsidRDefault="00AE59AE" w:rsidP="00134497">
      <w:pPr>
        <w:spacing w:after="0" w:line="240" w:lineRule="auto"/>
      </w:pPr>
      <w:r>
        <w:continuationSeparator/>
      </w:r>
    </w:p>
  </w:footnote>
  <w:footnote w:type="continuationNotice" w:id="1">
    <w:p w14:paraId="6CBF55F7" w14:textId="77777777" w:rsidR="00AE59AE" w:rsidRDefault="00AE59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60A6" w14:textId="003414AA" w:rsidR="00C54B17" w:rsidRDefault="00C54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8805" w14:textId="69098131" w:rsidR="009446F7" w:rsidRDefault="00D32C57" w:rsidP="00134497">
    <w:pPr>
      <w:pStyle w:val="Header"/>
      <w:jc w:val="right"/>
    </w:pPr>
    <w:r w:rsidRPr="00282EF8">
      <w:rPr>
        <w:noProof/>
      </w:rPr>
      <w:drawing>
        <wp:inline distT="0" distB="0" distL="0" distR="0" wp14:anchorId="49BB2321" wp14:editId="3608077C">
          <wp:extent cx="1783306" cy="485775"/>
          <wp:effectExtent l="0" t="0" r="762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062" cy="487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76F6" w14:textId="2FA5A191" w:rsidR="00C54B17" w:rsidRDefault="00C54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3B8"/>
    <w:multiLevelType w:val="hybridMultilevel"/>
    <w:tmpl w:val="56AEB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7E73"/>
    <w:multiLevelType w:val="hybridMultilevel"/>
    <w:tmpl w:val="CA12A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17D5"/>
    <w:multiLevelType w:val="hybridMultilevel"/>
    <w:tmpl w:val="1D56E074"/>
    <w:lvl w:ilvl="0" w:tplc="9E76B6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198"/>
    <w:multiLevelType w:val="hybridMultilevel"/>
    <w:tmpl w:val="B020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D32F6"/>
    <w:multiLevelType w:val="hybridMultilevel"/>
    <w:tmpl w:val="A94E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A4E00"/>
    <w:multiLevelType w:val="hybridMultilevel"/>
    <w:tmpl w:val="A8EE5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B4A66"/>
    <w:multiLevelType w:val="hybridMultilevel"/>
    <w:tmpl w:val="D8B66AA6"/>
    <w:lvl w:ilvl="0" w:tplc="9E76B6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A6D94"/>
    <w:multiLevelType w:val="hybridMultilevel"/>
    <w:tmpl w:val="724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D684B"/>
    <w:multiLevelType w:val="hybridMultilevel"/>
    <w:tmpl w:val="9BEC39BA"/>
    <w:lvl w:ilvl="0" w:tplc="9E76B6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B0EE2"/>
    <w:multiLevelType w:val="hybridMultilevel"/>
    <w:tmpl w:val="5B2032AC"/>
    <w:lvl w:ilvl="0" w:tplc="D47E644E">
      <w:start w:val="5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47955B5"/>
    <w:multiLevelType w:val="hybridMultilevel"/>
    <w:tmpl w:val="96E45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9A64C3"/>
    <w:multiLevelType w:val="hybridMultilevel"/>
    <w:tmpl w:val="CC6A7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25F0E"/>
    <w:multiLevelType w:val="hybridMultilevel"/>
    <w:tmpl w:val="E1C29006"/>
    <w:lvl w:ilvl="0" w:tplc="56B247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E2124"/>
    <w:multiLevelType w:val="hybridMultilevel"/>
    <w:tmpl w:val="2F90385A"/>
    <w:lvl w:ilvl="0" w:tplc="080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4" w15:restartNumberingAfterBreak="0">
    <w:nsid w:val="4AAD0F55"/>
    <w:multiLevelType w:val="hybridMultilevel"/>
    <w:tmpl w:val="A2AC4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3046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739DE"/>
    <w:multiLevelType w:val="hybridMultilevel"/>
    <w:tmpl w:val="955C6590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4E16685B"/>
    <w:multiLevelType w:val="multilevel"/>
    <w:tmpl w:val="66CE5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86FED"/>
    <w:multiLevelType w:val="hybridMultilevel"/>
    <w:tmpl w:val="35D471E8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0B73B9"/>
    <w:multiLevelType w:val="multilevel"/>
    <w:tmpl w:val="86D89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11521D"/>
    <w:multiLevelType w:val="hybridMultilevel"/>
    <w:tmpl w:val="32FAE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6B6B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6512"/>
    <w:multiLevelType w:val="hybridMultilevel"/>
    <w:tmpl w:val="49CC9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404166"/>
    <w:multiLevelType w:val="hybridMultilevel"/>
    <w:tmpl w:val="4358F41E"/>
    <w:lvl w:ilvl="0" w:tplc="9E76B6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86BBE"/>
    <w:multiLevelType w:val="hybridMultilevel"/>
    <w:tmpl w:val="5EDA3938"/>
    <w:lvl w:ilvl="0" w:tplc="9E76B6B4">
      <w:numFmt w:val="bullet"/>
      <w:lvlText w:val="-"/>
      <w:lvlJc w:val="left"/>
      <w:pPr>
        <w:ind w:left="1077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B1B7E37"/>
    <w:multiLevelType w:val="hybridMultilevel"/>
    <w:tmpl w:val="8C42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1D6A"/>
    <w:multiLevelType w:val="hybridMultilevel"/>
    <w:tmpl w:val="7F6CB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8233275">
    <w:abstractNumId w:val="11"/>
  </w:num>
  <w:num w:numId="2" w16cid:durableId="870924519">
    <w:abstractNumId w:val="5"/>
  </w:num>
  <w:num w:numId="3" w16cid:durableId="286088051">
    <w:abstractNumId w:val="14"/>
  </w:num>
  <w:num w:numId="4" w16cid:durableId="369571973">
    <w:abstractNumId w:val="19"/>
  </w:num>
  <w:num w:numId="5" w16cid:durableId="342052045">
    <w:abstractNumId w:val="20"/>
  </w:num>
  <w:num w:numId="6" w16cid:durableId="169488183">
    <w:abstractNumId w:val="13"/>
  </w:num>
  <w:num w:numId="7" w16cid:durableId="2130003188">
    <w:abstractNumId w:val="3"/>
  </w:num>
  <w:num w:numId="8" w16cid:durableId="114713813">
    <w:abstractNumId w:val="10"/>
  </w:num>
  <w:num w:numId="9" w16cid:durableId="310597181">
    <w:abstractNumId w:val="15"/>
  </w:num>
  <w:num w:numId="10" w16cid:durableId="626547212">
    <w:abstractNumId w:val="17"/>
  </w:num>
  <w:num w:numId="11" w16cid:durableId="1318223117">
    <w:abstractNumId w:val="1"/>
  </w:num>
  <w:num w:numId="12" w16cid:durableId="720178449">
    <w:abstractNumId w:val="0"/>
  </w:num>
  <w:num w:numId="13" w16cid:durableId="1854880889">
    <w:abstractNumId w:val="7"/>
  </w:num>
  <w:num w:numId="14" w16cid:durableId="662900247">
    <w:abstractNumId w:val="0"/>
  </w:num>
  <w:num w:numId="15" w16cid:durableId="1131707747">
    <w:abstractNumId w:val="18"/>
  </w:num>
  <w:num w:numId="16" w16cid:durableId="452752828">
    <w:abstractNumId w:val="16"/>
  </w:num>
  <w:num w:numId="17" w16cid:durableId="338387989">
    <w:abstractNumId w:val="24"/>
  </w:num>
  <w:num w:numId="18" w16cid:durableId="76100537">
    <w:abstractNumId w:val="21"/>
  </w:num>
  <w:num w:numId="19" w16cid:durableId="1040128661">
    <w:abstractNumId w:val="22"/>
  </w:num>
  <w:num w:numId="20" w16cid:durableId="484861419">
    <w:abstractNumId w:val="8"/>
  </w:num>
  <w:num w:numId="21" w16cid:durableId="1134517100">
    <w:abstractNumId w:val="2"/>
  </w:num>
  <w:num w:numId="22" w16cid:durableId="2137982823">
    <w:abstractNumId w:val="6"/>
  </w:num>
  <w:num w:numId="23" w16cid:durableId="10302701">
    <w:abstractNumId w:val="12"/>
  </w:num>
  <w:num w:numId="24" w16cid:durableId="1242333100">
    <w:abstractNumId w:val="9"/>
  </w:num>
  <w:num w:numId="25" w16cid:durableId="1816800652">
    <w:abstractNumId w:val="4"/>
  </w:num>
  <w:num w:numId="26" w16cid:durableId="9441149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97"/>
    <w:rsid w:val="00005A5A"/>
    <w:rsid w:val="00011C90"/>
    <w:rsid w:val="00032C08"/>
    <w:rsid w:val="00032D50"/>
    <w:rsid w:val="0003576A"/>
    <w:rsid w:val="000418A7"/>
    <w:rsid w:val="00055496"/>
    <w:rsid w:val="00062158"/>
    <w:rsid w:val="000641B3"/>
    <w:rsid w:val="00081AB2"/>
    <w:rsid w:val="00086BBD"/>
    <w:rsid w:val="00087783"/>
    <w:rsid w:val="00091387"/>
    <w:rsid w:val="000A3F38"/>
    <w:rsid w:val="000A7832"/>
    <w:rsid w:val="000B018D"/>
    <w:rsid w:val="000B6E1D"/>
    <w:rsid w:val="000C6BBC"/>
    <w:rsid w:val="000D067F"/>
    <w:rsid w:val="000D4400"/>
    <w:rsid w:val="000D7534"/>
    <w:rsid w:val="000E2540"/>
    <w:rsid w:val="000F12C7"/>
    <w:rsid w:val="00107550"/>
    <w:rsid w:val="00110C0C"/>
    <w:rsid w:val="00115537"/>
    <w:rsid w:val="00116411"/>
    <w:rsid w:val="00123DFF"/>
    <w:rsid w:val="00123E88"/>
    <w:rsid w:val="001320DA"/>
    <w:rsid w:val="00134497"/>
    <w:rsid w:val="0013617E"/>
    <w:rsid w:val="00136614"/>
    <w:rsid w:val="001434A9"/>
    <w:rsid w:val="00150E39"/>
    <w:rsid w:val="00157582"/>
    <w:rsid w:val="001616C4"/>
    <w:rsid w:val="00181C22"/>
    <w:rsid w:val="001864CB"/>
    <w:rsid w:val="00187E69"/>
    <w:rsid w:val="001A72E6"/>
    <w:rsid w:val="001A7F47"/>
    <w:rsid w:val="001B1CC1"/>
    <w:rsid w:val="001B3110"/>
    <w:rsid w:val="001C3F5E"/>
    <w:rsid w:val="001C4B8B"/>
    <w:rsid w:val="001D4B38"/>
    <w:rsid w:val="001E2EEE"/>
    <w:rsid w:val="001F427C"/>
    <w:rsid w:val="0020778A"/>
    <w:rsid w:val="00211918"/>
    <w:rsid w:val="002175C8"/>
    <w:rsid w:val="0022465D"/>
    <w:rsid w:val="0022654A"/>
    <w:rsid w:val="002415E5"/>
    <w:rsid w:val="00242CA5"/>
    <w:rsid w:val="00246BF7"/>
    <w:rsid w:val="00262520"/>
    <w:rsid w:val="002712D3"/>
    <w:rsid w:val="00273048"/>
    <w:rsid w:val="0027636D"/>
    <w:rsid w:val="00287BF7"/>
    <w:rsid w:val="002B5352"/>
    <w:rsid w:val="002B6101"/>
    <w:rsid w:val="002B71E1"/>
    <w:rsid w:val="002C7A36"/>
    <w:rsid w:val="002D387F"/>
    <w:rsid w:val="002E6635"/>
    <w:rsid w:val="002E7649"/>
    <w:rsid w:val="002F38FE"/>
    <w:rsid w:val="003003D1"/>
    <w:rsid w:val="00306D6E"/>
    <w:rsid w:val="003112EC"/>
    <w:rsid w:val="003116EB"/>
    <w:rsid w:val="0034114F"/>
    <w:rsid w:val="00373298"/>
    <w:rsid w:val="00375445"/>
    <w:rsid w:val="00391E7E"/>
    <w:rsid w:val="003A357B"/>
    <w:rsid w:val="003A7089"/>
    <w:rsid w:val="003B679D"/>
    <w:rsid w:val="003E0C5E"/>
    <w:rsid w:val="003E1DC9"/>
    <w:rsid w:val="003F58F4"/>
    <w:rsid w:val="00414D8B"/>
    <w:rsid w:val="00420C5C"/>
    <w:rsid w:val="00442B57"/>
    <w:rsid w:val="00455874"/>
    <w:rsid w:val="00456AA6"/>
    <w:rsid w:val="004830F9"/>
    <w:rsid w:val="00491590"/>
    <w:rsid w:val="004A552B"/>
    <w:rsid w:val="004A5853"/>
    <w:rsid w:val="004B5AD8"/>
    <w:rsid w:val="004C635F"/>
    <w:rsid w:val="004C7EA0"/>
    <w:rsid w:val="004D0F78"/>
    <w:rsid w:val="004D2B49"/>
    <w:rsid w:val="004D39B1"/>
    <w:rsid w:val="004F22DE"/>
    <w:rsid w:val="004F2650"/>
    <w:rsid w:val="004F3E80"/>
    <w:rsid w:val="00510899"/>
    <w:rsid w:val="00513874"/>
    <w:rsid w:val="00522255"/>
    <w:rsid w:val="00526AD5"/>
    <w:rsid w:val="0054567A"/>
    <w:rsid w:val="0054570D"/>
    <w:rsid w:val="00546ED9"/>
    <w:rsid w:val="00564C4E"/>
    <w:rsid w:val="005652FB"/>
    <w:rsid w:val="00573451"/>
    <w:rsid w:val="00580460"/>
    <w:rsid w:val="00590BB5"/>
    <w:rsid w:val="005927B0"/>
    <w:rsid w:val="00597D70"/>
    <w:rsid w:val="005A05B8"/>
    <w:rsid w:val="005A1AA4"/>
    <w:rsid w:val="005C1656"/>
    <w:rsid w:val="005C38FF"/>
    <w:rsid w:val="005C5AC0"/>
    <w:rsid w:val="005D1213"/>
    <w:rsid w:val="005D22D1"/>
    <w:rsid w:val="005D51EC"/>
    <w:rsid w:val="00611165"/>
    <w:rsid w:val="00615095"/>
    <w:rsid w:val="00616E18"/>
    <w:rsid w:val="0061752F"/>
    <w:rsid w:val="00626CAF"/>
    <w:rsid w:val="00630062"/>
    <w:rsid w:val="006605E0"/>
    <w:rsid w:val="00665869"/>
    <w:rsid w:val="00671FE0"/>
    <w:rsid w:val="006727C7"/>
    <w:rsid w:val="00676ADD"/>
    <w:rsid w:val="00680104"/>
    <w:rsid w:val="006843A4"/>
    <w:rsid w:val="00697747"/>
    <w:rsid w:val="006A0C3C"/>
    <w:rsid w:val="006A1651"/>
    <w:rsid w:val="006C54AE"/>
    <w:rsid w:val="006C6510"/>
    <w:rsid w:val="006D3D23"/>
    <w:rsid w:val="006D47A2"/>
    <w:rsid w:val="006E0109"/>
    <w:rsid w:val="007123B2"/>
    <w:rsid w:val="00713479"/>
    <w:rsid w:val="00726675"/>
    <w:rsid w:val="0073029D"/>
    <w:rsid w:val="00734A40"/>
    <w:rsid w:val="0074584C"/>
    <w:rsid w:val="0075710F"/>
    <w:rsid w:val="00770EC8"/>
    <w:rsid w:val="00772849"/>
    <w:rsid w:val="00774B58"/>
    <w:rsid w:val="0077508F"/>
    <w:rsid w:val="0078050E"/>
    <w:rsid w:val="007A2341"/>
    <w:rsid w:val="007A3526"/>
    <w:rsid w:val="007A5989"/>
    <w:rsid w:val="007C4357"/>
    <w:rsid w:val="007C5C0D"/>
    <w:rsid w:val="007D6DDF"/>
    <w:rsid w:val="007E0ED2"/>
    <w:rsid w:val="007E7767"/>
    <w:rsid w:val="007E7CAE"/>
    <w:rsid w:val="007F3F37"/>
    <w:rsid w:val="008044EB"/>
    <w:rsid w:val="008111BF"/>
    <w:rsid w:val="00811A55"/>
    <w:rsid w:val="008130E4"/>
    <w:rsid w:val="008155C8"/>
    <w:rsid w:val="00821D5A"/>
    <w:rsid w:val="00832C22"/>
    <w:rsid w:val="00842B5F"/>
    <w:rsid w:val="00873436"/>
    <w:rsid w:val="008902B7"/>
    <w:rsid w:val="008D3865"/>
    <w:rsid w:val="008D63E7"/>
    <w:rsid w:val="008E3885"/>
    <w:rsid w:val="008F13BE"/>
    <w:rsid w:val="008F3514"/>
    <w:rsid w:val="008F49F4"/>
    <w:rsid w:val="008F4C67"/>
    <w:rsid w:val="00912159"/>
    <w:rsid w:val="00913717"/>
    <w:rsid w:val="009145AA"/>
    <w:rsid w:val="009251AF"/>
    <w:rsid w:val="009261B0"/>
    <w:rsid w:val="00933031"/>
    <w:rsid w:val="009429A0"/>
    <w:rsid w:val="00943260"/>
    <w:rsid w:val="009446F7"/>
    <w:rsid w:val="00950BB9"/>
    <w:rsid w:val="00954CCD"/>
    <w:rsid w:val="0096478D"/>
    <w:rsid w:val="00967FAB"/>
    <w:rsid w:val="00975FF0"/>
    <w:rsid w:val="009767C4"/>
    <w:rsid w:val="00994820"/>
    <w:rsid w:val="009B037B"/>
    <w:rsid w:val="009C0328"/>
    <w:rsid w:val="009D3645"/>
    <w:rsid w:val="009F4653"/>
    <w:rsid w:val="009F527A"/>
    <w:rsid w:val="009F762F"/>
    <w:rsid w:val="00A17AE1"/>
    <w:rsid w:val="00A26D21"/>
    <w:rsid w:val="00A346A3"/>
    <w:rsid w:val="00A36E62"/>
    <w:rsid w:val="00A372E8"/>
    <w:rsid w:val="00A403B3"/>
    <w:rsid w:val="00A50CA2"/>
    <w:rsid w:val="00A51D3B"/>
    <w:rsid w:val="00A52FDB"/>
    <w:rsid w:val="00A62909"/>
    <w:rsid w:val="00A70B5C"/>
    <w:rsid w:val="00A861E5"/>
    <w:rsid w:val="00A91242"/>
    <w:rsid w:val="00AA3493"/>
    <w:rsid w:val="00AA4091"/>
    <w:rsid w:val="00AA5C7B"/>
    <w:rsid w:val="00AB0B90"/>
    <w:rsid w:val="00AB3D0D"/>
    <w:rsid w:val="00AC13E7"/>
    <w:rsid w:val="00AC1664"/>
    <w:rsid w:val="00AC383B"/>
    <w:rsid w:val="00AC4950"/>
    <w:rsid w:val="00AE218B"/>
    <w:rsid w:val="00AE59AE"/>
    <w:rsid w:val="00AF20F4"/>
    <w:rsid w:val="00AF4F9F"/>
    <w:rsid w:val="00AF52E1"/>
    <w:rsid w:val="00B149BB"/>
    <w:rsid w:val="00B26C06"/>
    <w:rsid w:val="00B272AA"/>
    <w:rsid w:val="00B36579"/>
    <w:rsid w:val="00B42983"/>
    <w:rsid w:val="00B623FA"/>
    <w:rsid w:val="00B80221"/>
    <w:rsid w:val="00B96AE8"/>
    <w:rsid w:val="00B96AED"/>
    <w:rsid w:val="00B9760B"/>
    <w:rsid w:val="00BC3C26"/>
    <w:rsid w:val="00BC768C"/>
    <w:rsid w:val="00BF576D"/>
    <w:rsid w:val="00BF5B4E"/>
    <w:rsid w:val="00BF6BBA"/>
    <w:rsid w:val="00BF7A36"/>
    <w:rsid w:val="00C0047D"/>
    <w:rsid w:val="00C01AC3"/>
    <w:rsid w:val="00C07F22"/>
    <w:rsid w:val="00C124B2"/>
    <w:rsid w:val="00C2160A"/>
    <w:rsid w:val="00C26490"/>
    <w:rsid w:val="00C3646C"/>
    <w:rsid w:val="00C36764"/>
    <w:rsid w:val="00C54B17"/>
    <w:rsid w:val="00C649E1"/>
    <w:rsid w:val="00C66463"/>
    <w:rsid w:val="00C73B8E"/>
    <w:rsid w:val="00C751D3"/>
    <w:rsid w:val="00C8185D"/>
    <w:rsid w:val="00C95FCD"/>
    <w:rsid w:val="00CC19B3"/>
    <w:rsid w:val="00CC6AB2"/>
    <w:rsid w:val="00CD446F"/>
    <w:rsid w:val="00CD4EF1"/>
    <w:rsid w:val="00CE2AC1"/>
    <w:rsid w:val="00CF4761"/>
    <w:rsid w:val="00CF66D8"/>
    <w:rsid w:val="00CF6BD2"/>
    <w:rsid w:val="00D04BEB"/>
    <w:rsid w:val="00D06E71"/>
    <w:rsid w:val="00D32C57"/>
    <w:rsid w:val="00D339D0"/>
    <w:rsid w:val="00D44C15"/>
    <w:rsid w:val="00D4608D"/>
    <w:rsid w:val="00D60AD7"/>
    <w:rsid w:val="00D67166"/>
    <w:rsid w:val="00D732C3"/>
    <w:rsid w:val="00D87F61"/>
    <w:rsid w:val="00D949BC"/>
    <w:rsid w:val="00D9663F"/>
    <w:rsid w:val="00DB385C"/>
    <w:rsid w:val="00DD7989"/>
    <w:rsid w:val="00DE18F0"/>
    <w:rsid w:val="00DE2179"/>
    <w:rsid w:val="00DE529F"/>
    <w:rsid w:val="00DE6A19"/>
    <w:rsid w:val="00DF3114"/>
    <w:rsid w:val="00DF5545"/>
    <w:rsid w:val="00E01CAB"/>
    <w:rsid w:val="00E04BD5"/>
    <w:rsid w:val="00E06A45"/>
    <w:rsid w:val="00E20768"/>
    <w:rsid w:val="00E212B6"/>
    <w:rsid w:val="00E308FB"/>
    <w:rsid w:val="00E34CC0"/>
    <w:rsid w:val="00E426C1"/>
    <w:rsid w:val="00E4752A"/>
    <w:rsid w:val="00E5207E"/>
    <w:rsid w:val="00E60EFA"/>
    <w:rsid w:val="00E62081"/>
    <w:rsid w:val="00E96033"/>
    <w:rsid w:val="00EA663C"/>
    <w:rsid w:val="00EE3910"/>
    <w:rsid w:val="00EF24CE"/>
    <w:rsid w:val="00EF2A4B"/>
    <w:rsid w:val="00F16D47"/>
    <w:rsid w:val="00F17C99"/>
    <w:rsid w:val="00F20024"/>
    <w:rsid w:val="00F209D0"/>
    <w:rsid w:val="00F22523"/>
    <w:rsid w:val="00F43B6B"/>
    <w:rsid w:val="00F4422E"/>
    <w:rsid w:val="00F549D5"/>
    <w:rsid w:val="00F553CA"/>
    <w:rsid w:val="00F57E3B"/>
    <w:rsid w:val="00F67CEA"/>
    <w:rsid w:val="00F7375C"/>
    <w:rsid w:val="00F80711"/>
    <w:rsid w:val="00F901C5"/>
    <w:rsid w:val="00F92308"/>
    <w:rsid w:val="00FA0AE1"/>
    <w:rsid w:val="00FA7D37"/>
    <w:rsid w:val="00FB2241"/>
    <w:rsid w:val="00FC3CE2"/>
    <w:rsid w:val="00FF36DF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17B7C"/>
  <w15:chartTrackingRefBased/>
  <w15:docId w15:val="{37A2C157-9B16-4C30-AFFC-C31FCC1C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4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44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4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449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34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54A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6D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26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1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261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1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61B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C4950"/>
    <w:pPr>
      <w:ind w:left="720"/>
    </w:pPr>
  </w:style>
  <w:style w:type="paragraph" w:styleId="Revision">
    <w:name w:val="Revision"/>
    <w:hidden/>
    <w:uiPriority w:val="99"/>
    <w:semiHidden/>
    <w:rsid w:val="005D1213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8A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18A7"/>
    <w:rPr>
      <w:lang w:eastAsia="en-US"/>
    </w:rPr>
  </w:style>
  <w:style w:type="character" w:styleId="FootnoteReference">
    <w:name w:val="footnote reference"/>
    <w:uiPriority w:val="99"/>
    <w:semiHidden/>
    <w:unhideWhenUsed/>
    <w:rsid w:val="000418A7"/>
    <w:rPr>
      <w:vertAlign w:val="superscript"/>
    </w:rPr>
  </w:style>
  <w:style w:type="character" w:styleId="Hyperlink">
    <w:name w:val="Hyperlink"/>
    <w:uiPriority w:val="99"/>
    <w:unhideWhenUsed/>
    <w:rsid w:val="000418A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041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348A-E533-43FD-B8BA-4CAFDDC2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9356</CharactersWithSpaces>
  <SharedDoc>false</SharedDoc>
  <HLinks>
    <vt:vector size="6" baseType="variant">
      <vt:variant>
        <vt:i4>3342403</vt:i4>
      </vt:variant>
      <vt:variant>
        <vt:i4>0</vt:i4>
      </vt:variant>
      <vt:variant>
        <vt:i4>0</vt:i4>
      </vt:variant>
      <vt:variant>
        <vt:i4>5</vt:i4>
      </vt:variant>
      <vt:variant>
        <vt:lpwstr>https://www.who.int/health-topics/quality-of-care</vt:lpwstr>
      </vt:variant>
      <vt:variant>
        <vt:lpwstr>tab=tab_1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Parsons</dc:creator>
  <cp:keywords/>
  <cp:lastModifiedBy>Sheridan Osbourne</cp:lastModifiedBy>
  <cp:revision>9</cp:revision>
  <cp:lastPrinted>2022-07-15T12:13:00Z</cp:lastPrinted>
  <dcterms:created xsi:type="dcterms:W3CDTF">2026-04-20T10:35:00Z</dcterms:created>
  <dcterms:modified xsi:type="dcterms:W3CDTF">2026-05-22T11:16:00Z</dcterms:modified>
</cp:coreProperties>
</file>