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8D3C3" w14:textId="7C352996" w:rsidR="00530756" w:rsidRDefault="002B0129" w:rsidP="00530756">
      <w:pPr>
        <w:pStyle w:val="BodyText"/>
        <w:jc w:val="center"/>
      </w:pPr>
      <w:bookmarkStart w:id="0" w:name="_GoBack"/>
      <w:bookmarkEnd w:id="0"/>
      <w:r>
        <w:tab/>
      </w:r>
    </w:p>
    <w:p w14:paraId="29C0C093" w14:textId="77777777" w:rsidR="00530756" w:rsidRDefault="00530756" w:rsidP="00566D2A">
      <w:pPr>
        <w:pStyle w:val="BodyText"/>
        <w:jc w:val="center"/>
      </w:pPr>
      <w:r>
        <w:t>YORKSHIRE  RHEUMATOLOGY  REGIONAL  GUIDELINES FOR  THE  MONITORING  OF  ADULT  PATIENTS  ON  DISEASE  MODIFYING</w:t>
      </w:r>
    </w:p>
    <w:p w14:paraId="62A88DFC" w14:textId="77777777" w:rsidR="00530756" w:rsidRDefault="002B2FEE" w:rsidP="00566D2A">
      <w:pPr>
        <w:pStyle w:val="BodyText"/>
        <w:ind w:left="1440" w:firstLine="720"/>
        <w:jc w:val="center"/>
      </w:pPr>
      <w:r>
        <w:t>DRUGS (</w:t>
      </w:r>
      <w:r w:rsidR="00530756">
        <w:t>DMARDS)</w:t>
      </w:r>
    </w:p>
    <w:p w14:paraId="775BDA6E" w14:textId="77777777" w:rsidR="00530756" w:rsidRDefault="00530756" w:rsidP="00566D2A">
      <w:pPr>
        <w:jc w:val="center"/>
        <w:rPr>
          <w:b/>
          <w:sz w:val="36"/>
        </w:rPr>
      </w:pPr>
      <w:r>
        <w:rPr>
          <w:b/>
          <w:sz w:val="36"/>
        </w:rPr>
        <w:t>INCLUDING BIOLOGIC THERAPY</w:t>
      </w:r>
    </w:p>
    <w:p w14:paraId="19D79EA8" w14:textId="77777777" w:rsidR="00530756" w:rsidRDefault="00530756" w:rsidP="00530756">
      <w:pPr>
        <w:rPr>
          <w:b/>
          <w:sz w:val="36"/>
        </w:rPr>
      </w:pPr>
    </w:p>
    <w:p w14:paraId="7FEE4DB2" w14:textId="77777777" w:rsidR="00530756" w:rsidRDefault="00530756" w:rsidP="00530756">
      <w:pPr>
        <w:rPr>
          <w:b/>
          <w:sz w:val="36"/>
        </w:rPr>
      </w:pPr>
    </w:p>
    <w:p w14:paraId="7427AE7B" w14:textId="77777777" w:rsidR="00530756" w:rsidRDefault="00530756" w:rsidP="00530756">
      <w:pPr>
        <w:rPr>
          <w:b/>
          <w:sz w:val="36"/>
        </w:rPr>
      </w:pPr>
    </w:p>
    <w:p w14:paraId="315D9899" w14:textId="77777777" w:rsidR="00530756" w:rsidRDefault="00530756" w:rsidP="00530756">
      <w:pPr>
        <w:rPr>
          <w:b/>
          <w:sz w:val="36"/>
        </w:rPr>
      </w:pPr>
    </w:p>
    <w:p w14:paraId="6EB3FF6B" w14:textId="77777777" w:rsidR="00530756" w:rsidRDefault="00530756" w:rsidP="00530756">
      <w:pPr>
        <w:rPr>
          <w:b/>
          <w:sz w:val="36"/>
        </w:rPr>
      </w:pPr>
    </w:p>
    <w:p w14:paraId="0A5AA3E9" w14:textId="77777777" w:rsidR="00530756" w:rsidRPr="00A6302A" w:rsidRDefault="002B2FEE" w:rsidP="00530756">
      <w:pPr>
        <w:jc w:val="center"/>
        <w:rPr>
          <w:b/>
          <w:sz w:val="40"/>
          <w:szCs w:val="40"/>
        </w:rPr>
      </w:pPr>
      <w:r>
        <w:rPr>
          <w:b/>
          <w:sz w:val="40"/>
          <w:szCs w:val="40"/>
        </w:rPr>
        <w:t>7th</w:t>
      </w:r>
      <w:r w:rsidRPr="00A6302A">
        <w:rPr>
          <w:b/>
          <w:sz w:val="40"/>
          <w:szCs w:val="40"/>
        </w:rPr>
        <w:t xml:space="preserve"> Edition</w:t>
      </w:r>
    </w:p>
    <w:p w14:paraId="524ED4D2" w14:textId="77777777" w:rsidR="00530756" w:rsidRDefault="00530756" w:rsidP="00530756">
      <w:pPr>
        <w:jc w:val="center"/>
        <w:rPr>
          <w:b/>
          <w:sz w:val="36"/>
        </w:rPr>
      </w:pPr>
    </w:p>
    <w:p w14:paraId="35475874" w14:textId="6F22DFA9" w:rsidR="00530756" w:rsidRDefault="002B2FEE" w:rsidP="00530756">
      <w:pPr>
        <w:jc w:val="center"/>
        <w:rPr>
          <w:b/>
          <w:sz w:val="40"/>
          <w:szCs w:val="40"/>
        </w:rPr>
      </w:pPr>
      <w:r>
        <w:rPr>
          <w:b/>
          <w:sz w:val="40"/>
          <w:szCs w:val="40"/>
        </w:rPr>
        <w:t xml:space="preserve">Revised </w:t>
      </w:r>
      <w:r w:rsidR="00566D2A">
        <w:rPr>
          <w:b/>
          <w:sz w:val="40"/>
          <w:szCs w:val="40"/>
        </w:rPr>
        <w:t>December</w:t>
      </w:r>
      <w:r w:rsidR="00530756">
        <w:rPr>
          <w:b/>
          <w:sz w:val="40"/>
          <w:szCs w:val="40"/>
        </w:rPr>
        <w:t xml:space="preserve"> 2018</w:t>
      </w:r>
    </w:p>
    <w:p w14:paraId="0D191DA8" w14:textId="77777777" w:rsidR="00530756" w:rsidRDefault="00530756">
      <w:pPr>
        <w:overflowPunct/>
        <w:autoSpaceDE/>
        <w:autoSpaceDN/>
        <w:adjustRightInd/>
        <w:spacing w:after="160" w:line="259" w:lineRule="auto"/>
        <w:textAlignment w:val="auto"/>
        <w:rPr>
          <w:b/>
          <w:sz w:val="40"/>
          <w:szCs w:val="40"/>
        </w:rPr>
      </w:pPr>
      <w:r>
        <w:rPr>
          <w:b/>
          <w:sz w:val="40"/>
          <w:szCs w:val="40"/>
        </w:rPr>
        <w:br w:type="page"/>
      </w:r>
    </w:p>
    <w:p w14:paraId="0B4C6889" w14:textId="5293601C" w:rsidR="00530756" w:rsidRDefault="001A7746" w:rsidP="001A7746">
      <w:pPr>
        <w:pStyle w:val="Heading1"/>
      </w:pPr>
      <w:bookmarkStart w:id="1" w:name="_Toc531873915"/>
      <w:r>
        <w:lastRenderedPageBreak/>
        <w:t>Introduction</w:t>
      </w:r>
      <w:bookmarkEnd w:id="1"/>
    </w:p>
    <w:p w14:paraId="0D52FB15" w14:textId="77777777" w:rsidR="00530756" w:rsidRDefault="00530756" w:rsidP="00530756">
      <w:pPr>
        <w:rPr>
          <w:b/>
          <w:sz w:val="40"/>
          <w:szCs w:val="40"/>
        </w:rPr>
      </w:pPr>
    </w:p>
    <w:p w14:paraId="437707A8" w14:textId="096C3A3C" w:rsidR="00530756" w:rsidRDefault="00530756" w:rsidP="00530756">
      <w:pPr>
        <w:rPr>
          <w:sz w:val="28"/>
        </w:rPr>
      </w:pPr>
      <w:r>
        <w:rPr>
          <w:sz w:val="28"/>
        </w:rPr>
        <w:t xml:space="preserve">These guidelines have, after extensive discussion with reference to the published literature, been agreed upon by the above group of Rheumatologists. There has been recent BSR </w:t>
      </w:r>
      <w:r w:rsidR="002B2FEE">
        <w:rPr>
          <w:sz w:val="28"/>
        </w:rPr>
        <w:t>safety guidance (201</w:t>
      </w:r>
      <w:r w:rsidR="00B979F5">
        <w:rPr>
          <w:sz w:val="28"/>
        </w:rPr>
        <w:t>6</w:t>
      </w:r>
      <w:r w:rsidR="002B2FEE">
        <w:rPr>
          <w:sz w:val="28"/>
        </w:rPr>
        <w:t xml:space="preserve"> and 201</w:t>
      </w:r>
      <w:r w:rsidR="00B979F5">
        <w:rPr>
          <w:sz w:val="28"/>
        </w:rPr>
        <w:t>7</w:t>
      </w:r>
      <w:r w:rsidR="002B2FEE">
        <w:rPr>
          <w:sz w:val="28"/>
        </w:rPr>
        <w:t xml:space="preserve">) </w:t>
      </w:r>
      <w:r>
        <w:rPr>
          <w:sz w:val="28"/>
        </w:rPr>
        <w:t>on the use of biologics. These Yorkshire Guidelines are felt to represent a safe level of clinical care for patients requiring DMARD treatment, while keeping monitoring time and expenditure to an acceptable level. Initial assessment of patients and the decision to start treatment will continue to be carefully made by Consultants and GP’s where appropriate. For each drug a single reference sheet outlining recommended drug monitoring tests, which should be done in order to minimise the risk of toxicity, is enclosed. These have been standardised where possible to allow consistency and reduce errors. A link is provided to the electronic compendium of datasheets to allow the prescriber to access additional detailed information on contra-indications, side effects and drug interactions for both synthetic and biologic DMARDs (</w:t>
      </w:r>
      <w:r w:rsidRPr="00FF6E8B">
        <w:rPr>
          <w:sz w:val="28"/>
        </w:rPr>
        <w:t>http://www.medicines.org.uk/emc/</w:t>
      </w:r>
      <w:r>
        <w:rPr>
          <w:sz w:val="28"/>
        </w:rPr>
        <w:t>).</w:t>
      </w:r>
    </w:p>
    <w:p w14:paraId="486D8642" w14:textId="77777777" w:rsidR="00530756" w:rsidRDefault="00530756" w:rsidP="00530756">
      <w:pPr>
        <w:rPr>
          <w:sz w:val="28"/>
        </w:rPr>
      </w:pPr>
    </w:p>
    <w:p w14:paraId="2CC45DBB" w14:textId="63907657" w:rsidR="00530756" w:rsidRDefault="00530756" w:rsidP="00530756">
      <w:pPr>
        <w:rPr>
          <w:sz w:val="28"/>
        </w:rPr>
      </w:pPr>
      <w:r>
        <w:rPr>
          <w:sz w:val="28"/>
        </w:rPr>
        <w:t>Under most circumstances</w:t>
      </w:r>
      <w:r w:rsidR="00566D2A">
        <w:rPr>
          <w:sz w:val="28"/>
        </w:rPr>
        <w:t xml:space="preserve"> csDMARD</w:t>
      </w:r>
      <w:r>
        <w:rPr>
          <w:sz w:val="28"/>
        </w:rPr>
        <w:t xml:space="preserve"> drug monitoring and prescribing is best undertaken in General Practice. This is requested by patients and is felt to improve compliance. </w:t>
      </w:r>
      <w:r w:rsidR="00900C7D" w:rsidRPr="00900C7D">
        <w:rPr>
          <w:sz w:val="28"/>
        </w:rPr>
        <w:t>Monitoring should be in agreement with locally agreed Shared Care Guidance.</w:t>
      </w:r>
      <w:r w:rsidR="00900C7D">
        <w:rPr>
          <w:sz w:val="28"/>
        </w:rPr>
        <w:t xml:space="preserve"> </w:t>
      </w:r>
      <w:r>
        <w:rPr>
          <w:sz w:val="28"/>
        </w:rPr>
        <w:t>Where patients have severe disease and more toxic drug regimens, hospital monitoring in the initial stages will usually be preferred. Where possible a hospital based rheumatology specialist nurse will be available for advice for patients or medical staff regarding problems with the use of these drugs. Consultant Rheumatologists are also contactable by telephone, fax or email for advice when needed.</w:t>
      </w:r>
    </w:p>
    <w:p w14:paraId="044C9AEA" w14:textId="77777777" w:rsidR="00530756" w:rsidRDefault="00530756" w:rsidP="00530756">
      <w:pPr>
        <w:rPr>
          <w:sz w:val="28"/>
        </w:rPr>
      </w:pPr>
    </w:p>
    <w:p w14:paraId="09DFBD88" w14:textId="338949F4" w:rsidR="00530756" w:rsidRDefault="00530756" w:rsidP="00530756">
      <w:pPr>
        <w:rPr>
          <w:sz w:val="28"/>
        </w:rPr>
      </w:pPr>
      <w:r>
        <w:rPr>
          <w:sz w:val="28"/>
        </w:rPr>
        <w:t xml:space="preserve">These guidelines have now been revised </w:t>
      </w:r>
      <w:r w:rsidR="002B2FEE">
        <w:rPr>
          <w:sz w:val="28"/>
        </w:rPr>
        <w:t>7</w:t>
      </w:r>
      <w:r>
        <w:rPr>
          <w:sz w:val="28"/>
        </w:rPr>
        <w:t xml:space="preserve"> times and will continue to require modification. They are dated and will be reviewed in </w:t>
      </w:r>
      <w:r w:rsidR="00566D2A">
        <w:rPr>
          <w:sz w:val="28"/>
        </w:rPr>
        <w:t>2021</w:t>
      </w:r>
      <w:r>
        <w:rPr>
          <w:sz w:val="28"/>
        </w:rPr>
        <w:t xml:space="preserve">. Suggestions for additions or alterations may be forwarded to: </w:t>
      </w:r>
    </w:p>
    <w:p w14:paraId="6776B88F" w14:textId="77777777" w:rsidR="00530756" w:rsidRDefault="00530756" w:rsidP="00530756">
      <w:pPr>
        <w:rPr>
          <w:sz w:val="28"/>
        </w:rPr>
      </w:pPr>
    </w:p>
    <w:p w14:paraId="509341F4" w14:textId="77777777" w:rsidR="00530756" w:rsidRPr="00FF6E8B" w:rsidRDefault="00530756" w:rsidP="00530756">
      <w:pPr>
        <w:rPr>
          <w:szCs w:val="24"/>
        </w:rPr>
      </w:pPr>
      <w:r w:rsidRPr="00FF6E8B">
        <w:rPr>
          <w:szCs w:val="24"/>
        </w:rPr>
        <w:t xml:space="preserve">Dr Andrew Gough, Consultant Rheumatologist, Harrogate District Hospital, Lancaster Park Road, Harrogate  HG2 7SX.  (01423 883389 / Fax 01423  553468 / </w:t>
      </w:r>
      <w:hyperlink r:id="rId9" w:history="1">
        <w:r w:rsidRPr="00FF6E8B">
          <w:rPr>
            <w:rStyle w:val="Hyperlink"/>
            <w:szCs w:val="24"/>
          </w:rPr>
          <w:t>Andrew.Gough@hdft.nhs.uk</w:t>
        </w:r>
      </w:hyperlink>
      <w:r w:rsidRPr="00FF6E8B">
        <w:rPr>
          <w:szCs w:val="24"/>
        </w:rPr>
        <w:t>) or</w:t>
      </w:r>
    </w:p>
    <w:p w14:paraId="3C561F15" w14:textId="6C716C90" w:rsidR="00530756" w:rsidRPr="00FF6E8B" w:rsidRDefault="00566D2A" w:rsidP="00530756">
      <w:pPr>
        <w:rPr>
          <w:szCs w:val="24"/>
        </w:rPr>
      </w:pPr>
      <w:r>
        <w:rPr>
          <w:szCs w:val="24"/>
        </w:rPr>
        <w:t>Dr Gui Tran</w:t>
      </w:r>
      <w:r w:rsidR="00530756" w:rsidRPr="00FF6E8B">
        <w:rPr>
          <w:szCs w:val="24"/>
        </w:rPr>
        <w:t xml:space="preserve">, Rheumatology </w:t>
      </w:r>
      <w:r>
        <w:rPr>
          <w:szCs w:val="24"/>
        </w:rPr>
        <w:t>Registrar</w:t>
      </w:r>
      <w:r w:rsidR="00530756" w:rsidRPr="00FF6E8B">
        <w:rPr>
          <w:szCs w:val="24"/>
        </w:rPr>
        <w:t xml:space="preserve">, Chapel Allerton Hospital (0113 392 4589 / </w:t>
      </w:r>
      <w:r w:rsidR="001A7746">
        <w:rPr>
          <w:szCs w:val="24"/>
        </w:rPr>
        <w:t>g.tran@nhs.net</w:t>
      </w:r>
      <w:r w:rsidR="00530756" w:rsidRPr="00FF6E8B">
        <w:rPr>
          <w:szCs w:val="24"/>
        </w:rPr>
        <w:t>) or</w:t>
      </w:r>
    </w:p>
    <w:p w14:paraId="4EF3429E" w14:textId="77777777" w:rsidR="002B2FEE" w:rsidRDefault="00530756" w:rsidP="00530756">
      <w:pPr>
        <w:rPr>
          <w:szCs w:val="24"/>
        </w:rPr>
      </w:pPr>
      <w:r w:rsidRPr="00FF6E8B">
        <w:rPr>
          <w:szCs w:val="24"/>
        </w:rPr>
        <w:t>Professor Paul Emery, Academic Unit of Musculoskeletal Disease, Chapel Allerton Hospital, Chapeltown Road, Leeds LS7 4SA (0113 392 4883 / Fax 0113 392 4991)</w:t>
      </w:r>
    </w:p>
    <w:p w14:paraId="459CC793" w14:textId="3FFCD9FF" w:rsidR="00B92D0F" w:rsidRDefault="002B2FEE">
      <w:pPr>
        <w:overflowPunct/>
        <w:autoSpaceDE/>
        <w:autoSpaceDN/>
        <w:adjustRightInd/>
        <w:spacing w:after="160" w:line="259" w:lineRule="auto"/>
        <w:textAlignment w:val="auto"/>
        <w:rPr>
          <w:rFonts w:eastAsiaTheme="majorEastAsia" w:cstheme="majorBidi"/>
          <w:b/>
          <w:sz w:val="32"/>
          <w:szCs w:val="32"/>
        </w:rPr>
      </w:pPr>
      <w:r>
        <w:rPr>
          <w:szCs w:val="24"/>
        </w:rPr>
        <w:br w:type="page"/>
      </w:r>
    </w:p>
    <w:sdt>
      <w:sdtPr>
        <w:rPr>
          <w:rFonts w:ascii="Times New Roman" w:eastAsia="Times New Roman" w:hAnsi="Times New Roman" w:cs="Times New Roman"/>
          <w:color w:val="auto"/>
          <w:sz w:val="24"/>
          <w:szCs w:val="20"/>
          <w:lang w:val="en-GB"/>
        </w:rPr>
        <w:id w:val="-88016669"/>
        <w:docPartObj>
          <w:docPartGallery w:val="Table of Contents"/>
          <w:docPartUnique/>
        </w:docPartObj>
      </w:sdtPr>
      <w:sdtEndPr>
        <w:rPr>
          <w:b/>
          <w:bCs/>
          <w:noProof/>
        </w:rPr>
      </w:sdtEndPr>
      <w:sdtContent>
        <w:p w14:paraId="1A2496EA" w14:textId="74188417" w:rsidR="00B979F5" w:rsidRDefault="00B979F5">
          <w:pPr>
            <w:pStyle w:val="TOCHeading"/>
          </w:pPr>
          <w:r>
            <w:t>Contents</w:t>
          </w:r>
        </w:p>
        <w:p w14:paraId="5221789C" w14:textId="77777777" w:rsidR="00F153A1" w:rsidRDefault="00884993">
          <w:pPr>
            <w:pStyle w:val="TOC1"/>
            <w:tabs>
              <w:tab w:val="left" w:pos="440"/>
              <w:tab w:val="right" w:leader="dot" w:pos="9016"/>
            </w:tabs>
            <w:rPr>
              <w:rFonts w:asciiTheme="minorHAnsi" w:eastAsiaTheme="minorEastAsia" w:hAnsiTheme="minorHAnsi" w:cstheme="minorBidi"/>
              <w:noProof/>
              <w:szCs w:val="22"/>
              <w:lang w:eastAsia="en-GB"/>
            </w:rPr>
          </w:pPr>
          <w:r>
            <w:rPr>
              <w:b/>
              <w:bCs/>
              <w:noProof/>
            </w:rPr>
            <w:fldChar w:fldCharType="begin"/>
          </w:r>
          <w:r>
            <w:rPr>
              <w:b/>
              <w:bCs/>
              <w:noProof/>
            </w:rPr>
            <w:instrText xml:space="preserve"> TOC \o "1-3" \h \z \u </w:instrText>
          </w:r>
          <w:r>
            <w:rPr>
              <w:b/>
              <w:bCs/>
              <w:noProof/>
            </w:rPr>
            <w:fldChar w:fldCharType="separate"/>
          </w:r>
          <w:hyperlink w:anchor="_Toc531873915" w:history="1">
            <w:r w:rsidR="00F153A1" w:rsidRPr="00377BBB">
              <w:rPr>
                <w:rStyle w:val="Hyperlink"/>
                <w:noProof/>
              </w:rPr>
              <w:t>1.</w:t>
            </w:r>
            <w:r w:rsidR="00F153A1">
              <w:rPr>
                <w:rFonts w:asciiTheme="minorHAnsi" w:eastAsiaTheme="minorEastAsia" w:hAnsiTheme="minorHAnsi" w:cstheme="minorBidi"/>
                <w:noProof/>
                <w:szCs w:val="22"/>
                <w:lang w:eastAsia="en-GB"/>
              </w:rPr>
              <w:tab/>
            </w:r>
            <w:r w:rsidR="00F153A1" w:rsidRPr="00377BBB">
              <w:rPr>
                <w:rStyle w:val="Hyperlink"/>
                <w:noProof/>
              </w:rPr>
              <w:t>Introduction</w:t>
            </w:r>
            <w:r w:rsidR="00F153A1">
              <w:rPr>
                <w:noProof/>
                <w:webHidden/>
              </w:rPr>
              <w:tab/>
            </w:r>
            <w:r w:rsidR="00F153A1">
              <w:rPr>
                <w:noProof/>
                <w:webHidden/>
              </w:rPr>
              <w:fldChar w:fldCharType="begin"/>
            </w:r>
            <w:r w:rsidR="00F153A1">
              <w:rPr>
                <w:noProof/>
                <w:webHidden/>
              </w:rPr>
              <w:instrText xml:space="preserve"> PAGEREF _Toc531873915 \h </w:instrText>
            </w:r>
            <w:r w:rsidR="00F153A1">
              <w:rPr>
                <w:noProof/>
                <w:webHidden/>
              </w:rPr>
            </w:r>
            <w:r w:rsidR="00F153A1">
              <w:rPr>
                <w:noProof/>
                <w:webHidden/>
              </w:rPr>
              <w:fldChar w:fldCharType="separate"/>
            </w:r>
            <w:r w:rsidR="00F153A1">
              <w:rPr>
                <w:noProof/>
                <w:webHidden/>
              </w:rPr>
              <w:t>2</w:t>
            </w:r>
            <w:r w:rsidR="00F153A1">
              <w:rPr>
                <w:noProof/>
                <w:webHidden/>
              </w:rPr>
              <w:fldChar w:fldCharType="end"/>
            </w:r>
          </w:hyperlink>
        </w:p>
        <w:p w14:paraId="691CD79B" w14:textId="77777777" w:rsidR="00F153A1" w:rsidRDefault="00323D19">
          <w:pPr>
            <w:pStyle w:val="TOC1"/>
            <w:tabs>
              <w:tab w:val="left" w:pos="440"/>
              <w:tab w:val="right" w:leader="dot" w:pos="9016"/>
            </w:tabs>
            <w:rPr>
              <w:rFonts w:asciiTheme="minorHAnsi" w:eastAsiaTheme="minorEastAsia" w:hAnsiTheme="minorHAnsi" w:cstheme="minorBidi"/>
              <w:noProof/>
              <w:szCs w:val="22"/>
              <w:lang w:eastAsia="en-GB"/>
            </w:rPr>
          </w:pPr>
          <w:hyperlink w:anchor="_Toc531873916" w:history="1">
            <w:r w:rsidR="00F153A1" w:rsidRPr="00377BBB">
              <w:rPr>
                <w:rStyle w:val="Hyperlink"/>
                <w:noProof/>
              </w:rPr>
              <w:t>2.</w:t>
            </w:r>
            <w:r w:rsidR="00F153A1">
              <w:rPr>
                <w:rFonts w:asciiTheme="minorHAnsi" w:eastAsiaTheme="minorEastAsia" w:hAnsiTheme="minorHAnsi" w:cstheme="minorBidi"/>
                <w:noProof/>
                <w:szCs w:val="22"/>
                <w:lang w:eastAsia="en-GB"/>
              </w:rPr>
              <w:tab/>
            </w:r>
            <w:r w:rsidR="00F153A1" w:rsidRPr="00377BBB">
              <w:rPr>
                <w:rStyle w:val="Hyperlink"/>
                <w:noProof/>
              </w:rPr>
              <w:t>Abbreviations</w:t>
            </w:r>
            <w:r w:rsidR="00F153A1">
              <w:rPr>
                <w:noProof/>
                <w:webHidden/>
              </w:rPr>
              <w:tab/>
            </w:r>
            <w:r w:rsidR="00F153A1">
              <w:rPr>
                <w:noProof/>
                <w:webHidden/>
              </w:rPr>
              <w:fldChar w:fldCharType="begin"/>
            </w:r>
            <w:r w:rsidR="00F153A1">
              <w:rPr>
                <w:noProof/>
                <w:webHidden/>
              </w:rPr>
              <w:instrText xml:space="preserve"> PAGEREF _Toc531873916 \h </w:instrText>
            </w:r>
            <w:r w:rsidR="00F153A1">
              <w:rPr>
                <w:noProof/>
                <w:webHidden/>
              </w:rPr>
            </w:r>
            <w:r w:rsidR="00F153A1">
              <w:rPr>
                <w:noProof/>
                <w:webHidden/>
              </w:rPr>
              <w:fldChar w:fldCharType="separate"/>
            </w:r>
            <w:r w:rsidR="00F153A1">
              <w:rPr>
                <w:noProof/>
                <w:webHidden/>
              </w:rPr>
              <w:t>5</w:t>
            </w:r>
            <w:r w:rsidR="00F153A1">
              <w:rPr>
                <w:noProof/>
                <w:webHidden/>
              </w:rPr>
              <w:fldChar w:fldCharType="end"/>
            </w:r>
          </w:hyperlink>
        </w:p>
        <w:p w14:paraId="12883478" w14:textId="77777777" w:rsidR="00F153A1" w:rsidRDefault="00323D19">
          <w:pPr>
            <w:pStyle w:val="TOC1"/>
            <w:tabs>
              <w:tab w:val="left" w:pos="440"/>
              <w:tab w:val="right" w:leader="dot" w:pos="9016"/>
            </w:tabs>
            <w:rPr>
              <w:rFonts w:asciiTheme="minorHAnsi" w:eastAsiaTheme="minorEastAsia" w:hAnsiTheme="minorHAnsi" w:cstheme="minorBidi"/>
              <w:noProof/>
              <w:szCs w:val="22"/>
              <w:lang w:eastAsia="en-GB"/>
            </w:rPr>
          </w:pPr>
          <w:hyperlink w:anchor="_Toc531873917" w:history="1">
            <w:r w:rsidR="00F153A1" w:rsidRPr="00377BBB">
              <w:rPr>
                <w:rStyle w:val="Hyperlink"/>
                <w:noProof/>
              </w:rPr>
              <w:t>3.</w:t>
            </w:r>
            <w:r w:rsidR="00F153A1">
              <w:rPr>
                <w:rFonts w:asciiTheme="minorHAnsi" w:eastAsiaTheme="minorEastAsia" w:hAnsiTheme="minorHAnsi" w:cstheme="minorBidi"/>
                <w:noProof/>
                <w:szCs w:val="22"/>
                <w:lang w:eastAsia="en-GB"/>
              </w:rPr>
              <w:tab/>
            </w:r>
            <w:r w:rsidR="00F153A1" w:rsidRPr="00377BBB">
              <w:rPr>
                <w:rStyle w:val="Hyperlink"/>
                <w:noProof/>
              </w:rPr>
              <w:t>Corticosteroids</w:t>
            </w:r>
            <w:r w:rsidR="00F153A1">
              <w:rPr>
                <w:noProof/>
                <w:webHidden/>
              </w:rPr>
              <w:tab/>
            </w:r>
            <w:r w:rsidR="00F153A1">
              <w:rPr>
                <w:noProof/>
                <w:webHidden/>
              </w:rPr>
              <w:fldChar w:fldCharType="begin"/>
            </w:r>
            <w:r w:rsidR="00F153A1">
              <w:rPr>
                <w:noProof/>
                <w:webHidden/>
              </w:rPr>
              <w:instrText xml:space="preserve"> PAGEREF _Toc531873917 \h </w:instrText>
            </w:r>
            <w:r w:rsidR="00F153A1">
              <w:rPr>
                <w:noProof/>
                <w:webHidden/>
              </w:rPr>
            </w:r>
            <w:r w:rsidR="00F153A1">
              <w:rPr>
                <w:noProof/>
                <w:webHidden/>
              </w:rPr>
              <w:fldChar w:fldCharType="separate"/>
            </w:r>
            <w:r w:rsidR="00F153A1">
              <w:rPr>
                <w:noProof/>
                <w:webHidden/>
              </w:rPr>
              <w:t>6</w:t>
            </w:r>
            <w:r w:rsidR="00F153A1">
              <w:rPr>
                <w:noProof/>
                <w:webHidden/>
              </w:rPr>
              <w:fldChar w:fldCharType="end"/>
            </w:r>
          </w:hyperlink>
        </w:p>
        <w:p w14:paraId="0E51AD4C" w14:textId="77777777" w:rsidR="00F153A1" w:rsidRDefault="00323D19">
          <w:pPr>
            <w:pStyle w:val="TOC1"/>
            <w:tabs>
              <w:tab w:val="left" w:pos="440"/>
              <w:tab w:val="right" w:leader="dot" w:pos="9016"/>
            </w:tabs>
            <w:rPr>
              <w:rFonts w:asciiTheme="minorHAnsi" w:eastAsiaTheme="minorEastAsia" w:hAnsiTheme="minorHAnsi" w:cstheme="minorBidi"/>
              <w:noProof/>
              <w:szCs w:val="22"/>
              <w:lang w:eastAsia="en-GB"/>
            </w:rPr>
          </w:pPr>
          <w:hyperlink w:anchor="_Toc531873918" w:history="1">
            <w:r w:rsidR="00F153A1" w:rsidRPr="00377BBB">
              <w:rPr>
                <w:rStyle w:val="Hyperlink"/>
                <w:noProof/>
              </w:rPr>
              <w:t>4.</w:t>
            </w:r>
            <w:r w:rsidR="00F153A1">
              <w:rPr>
                <w:rFonts w:asciiTheme="minorHAnsi" w:eastAsiaTheme="minorEastAsia" w:hAnsiTheme="minorHAnsi" w:cstheme="minorBidi"/>
                <w:noProof/>
                <w:szCs w:val="22"/>
                <w:lang w:eastAsia="en-GB"/>
              </w:rPr>
              <w:tab/>
            </w:r>
            <w:r w:rsidR="00F153A1" w:rsidRPr="00377BBB">
              <w:rPr>
                <w:rStyle w:val="Hyperlink"/>
                <w:noProof/>
              </w:rPr>
              <w:t>Synthetic or csDMARDs</w:t>
            </w:r>
            <w:r w:rsidR="00F153A1">
              <w:rPr>
                <w:noProof/>
                <w:webHidden/>
              </w:rPr>
              <w:tab/>
            </w:r>
            <w:r w:rsidR="00F153A1">
              <w:rPr>
                <w:noProof/>
                <w:webHidden/>
              </w:rPr>
              <w:fldChar w:fldCharType="begin"/>
            </w:r>
            <w:r w:rsidR="00F153A1">
              <w:rPr>
                <w:noProof/>
                <w:webHidden/>
              </w:rPr>
              <w:instrText xml:space="preserve"> PAGEREF _Toc531873918 \h </w:instrText>
            </w:r>
            <w:r w:rsidR="00F153A1">
              <w:rPr>
                <w:noProof/>
                <w:webHidden/>
              </w:rPr>
            </w:r>
            <w:r w:rsidR="00F153A1">
              <w:rPr>
                <w:noProof/>
                <w:webHidden/>
              </w:rPr>
              <w:fldChar w:fldCharType="separate"/>
            </w:r>
            <w:r w:rsidR="00F153A1">
              <w:rPr>
                <w:noProof/>
                <w:webHidden/>
              </w:rPr>
              <w:t>8</w:t>
            </w:r>
            <w:r w:rsidR="00F153A1">
              <w:rPr>
                <w:noProof/>
                <w:webHidden/>
              </w:rPr>
              <w:fldChar w:fldCharType="end"/>
            </w:r>
          </w:hyperlink>
        </w:p>
        <w:p w14:paraId="6E71FDF2"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19" w:history="1">
            <w:r w:rsidR="00F153A1" w:rsidRPr="00377BBB">
              <w:rPr>
                <w:rStyle w:val="Hyperlink"/>
                <w:noProof/>
              </w:rPr>
              <w:t>Azathioprine</w:t>
            </w:r>
            <w:r w:rsidR="00F153A1">
              <w:rPr>
                <w:noProof/>
                <w:webHidden/>
              </w:rPr>
              <w:tab/>
            </w:r>
            <w:r w:rsidR="00F153A1">
              <w:rPr>
                <w:noProof/>
                <w:webHidden/>
              </w:rPr>
              <w:fldChar w:fldCharType="begin"/>
            </w:r>
            <w:r w:rsidR="00F153A1">
              <w:rPr>
                <w:noProof/>
                <w:webHidden/>
              </w:rPr>
              <w:instrText xml:space="preserve"> PAGEREF _Toc531873919 \h </w:instrText>
            </w:r>
            <w:r w:rsidR="00F153A1">
              <w:rPr>
                <w:noProof/>
                <w:webHidden/>
              </w:rPr>
            </w:r>
            <w:r w:rsidR="00F153A1">
              <w:rPr>
                <w:noProof/>
                <w:webHidden/>
              </w:rPr>
              <w:fldChar w:fldCharType="separate"/>
            </w:r>
            <w:r w:rsidR="00F153A1">
              <w:rPr>
                <w:noProof/>
                <w:webHidden/>
              </w:rPr>
              <w:t>8</w:t>
            </w:r>
            <w:r w:rsidR="00F153A1">
              <w:rPr>
                <w:noProof/>
                <w:webHidden/>
              </w:rPr>
              <w:fldChar w:fldCharType="end"/>
            </w:r>
          </w:hyperlink>
        </w:p>
        <w:p w14:paraId="262815BE"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20" w:history="1">
            <w:r w:rsidR="00F153A1" w:rsidRPr="00377BBB">
              <w:rPr>
                <w:rStyle w:val="Hyperlink"/>
                <w:noProof/>
              </w:rPr>
              <w:t>Cyclosporine</w:t>
            </w:r>
            <w:r w:rsidR="00F153A1">
              <w:rPr>
                <w:noProof/>
                <w:webHidden/>
              </w:rPr>
              <w:tab/>
            </w:r>
            <w:r w:rsidR="00F153A1">
              <w:rPr>
                <w:noProof/>
                <w:webHidden/>
              </w:rPr>
              <w:fldChar w:fldCharType="begin"/>
            </w:r>
            <w:r w:rsidR="00F153A1">
              <w:rPr>
                <w:noProof/>
                <w:webHidden/>
              </w:rPr>
              <w:instrText xml:space="preserve"> PAGEREF _Toc531873920 \h </w:instrText>
            </w:r>
            <w:r w:rsidR="00F153A1">
              <w:rPr>
                <w:noProof/>
                <w:webHidden/>
              </w:rPr>
            </w:r>
            <w:r w:rsidR="00F153A1">
              <w:rPr>
                <w:noProof/>
                <w:webHidden/>
              </w:rPr>
              <w:fldChar w:fldCharType="separate"/>
            </w:r>
            <w:r w:rsidR="00F153A1">
              <w:rPr>
                <w:noProof/>
                <w:webHidden/>
              </w:rPr>
              <w:t>9</w:t>
            </w:r>
            <w:r w:rsidR="00F153A1">
              <w:rPr>
                <w:noProof/>
                <w:webHidden/>
              </w:rPr>
              <w:fldChar w:fldCharType="end"/>
            </w:r>
          </w:hyperlink>
        </w:p>
        <w:p w14:paraId="6AD6D1FE"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21" w:history="1">
            <w:r w:rsidR="00F153A1" w:rsidRPr="00377BBB">
              <w:rPr>
                <w:rStyle w:val="Hyperlink"/>
                <w:noProof/>
              </w:rPr>
              <w:t>Cyclophosphamide</w:t>
            </w:r>
            <w:r w:rsidR="00F153A1">
              <w:rPr>
                <w:noProof/>
                <w:webHidden/>
              </w:rPr>
              <w:tab/>
            </w:r>
            <w:r w:rsidR="00F153A1">
              <w:rPr>
                <w:noProof/>
                <w:webHidden/>
              </w:rPr>
              <w:fldChar w:fldCharType="begin"/>
            </w:r>
            <w:r w:rsidR="00F153A1">
              <w:rPr>
                <w:noProof/>
                <w:webHidden/>
              </w:rPr>
              <w:instrText xml:space="preserve"> PAGEREF _Toc531873921 \h </w:instrText>
            </w:r>
            <w:r w:rsidR="00F153A1">
              <w:rPr>
                <w:noProof/>
                <w:webHidden/>
              </w:rPr>
            </w:r>
            <w:r w:rsidR="00F153A1">
              <w:rPr>
                <w:noProof/>
                <w:webHidden/>
              </w:rPr>
              <w:fldChar w:fldCharType="separate"/>
            </w:r>
            <w:r w:rsidR="00F153A1">
              <w:rPr>
                <w:noProof/>
                <w:webHidden/>
              </w:rPr>
              <w:t>10</w:t>
            </w:r>
            <w:r w:rsidR="00F153A1">
              <w:rPr>
                <w:noProof/>
                <w:webHidden/>
              </w:rPr>
              <w:fldChar w:fldCharType="end"/>
            </w:r>
          </w:hyperlink>
        </w:p>
        <w:p w14:paraId="4E42F169"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22" w:history="1">
            <w:r w:rsidR="00F153A1" w:rsidRPr="00377BBB">
              <w:rPr>
                <w:rStyle w:val="Hyperlink"/>
                <w:noProof/>
              </w:rPr>
              <w:t>Injectable gold (sodium aurothiomalate)</w:t>
            </w:r>
            <w:r w:rsidR="00F153A1">
              <w:rPr>
                <w:noProof/>
                <w:webHidden/>
              </w:rPr>
              <w:tab/>
            </w:r>
            <w:r w:rsidR="00F153A1">
              <w:rPr>
                <w:noProof/>
                <w:webHidden/>
              </w:rPr>
              <w:fldChar w:fldCharType="begin"/>
            </w:r>
            <w:r w:rsidR="00F153A1">
              <w:rPr>
                <w:noProof/>
                <w:webHidden/>
              </w:rPr>
              <w:instrText xml:space="preserve"> PAGEREF _Toc531873922 \h </w:instrText>
            </w:r>
            <w:r w:rsidR="00F153A1">
              <w:rPr>
                <w:noProof/>
                <w:webHidden/>
              </w:rPr>
            </w:r>
            <w:r w:rsidR="00F153A1">
              <w:rPr>
                <w:noProof/>
                <w:webHidden/>
              </w:rPr>
              <w:fldChar w:fldCharType="separate"/>
            </w:r>
            <w:r w:rsidR="00F153A1">
              <w:rPr>
                <w:noProof/>
                <w:webHidden/>
              </w:rPr>
              <w:t>11</w:t>
            </w:r>
            <w:r w:rsidR="00F153A1">
              <w:rPr>
                <w:noProof/>
                <w:webHidden/>
              </w:rPr>
              <w:fldChar w:fldCharType="end"/>
            </w:r>
          </w:hyperlink>
        </w:p>
        <w:p w14:paraId="793437F6"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23" w:history="1">
            <w:r w:rsidR="00F153A1" w:rsidRPr="00377BBB">
              <w:rPr>
                <w:rStyle w:val="Hyperlink"/>
                <w:noProof/>
              </w:rPr>
              <w:t>Hydroxychloroquine</w:t>
            </w:r>
            <w:r w:rsidR="00F153A1">
              <w:rPr>
                <w:noProof/>
                <w:webHidden/>
              </w:rPr>
              <w:tab/>
            </w:r>
            <w:r w:rsidR="00F153A1">
              <w:rPr>
                <w:noProof/>
                <w:webHidden/>
              </w:rPr>
              <w:fldChar w:fldCharType="begin"/>
            </w:r>
            <w:r w:rsidR="00F153A1">
              <w:rPr>
                <w:noProof/>
                <w:webHidden/>
              </w:rPr>
              <w:instrText xml:space="preserve"> PAGEREF _Toc531873923 \h </w:instrText>
            </w:r>
            <w:r w:rsidR="00F153A1">
              <w:rPr>
                <w:noProof/>
                <w:webHidden/>
              </w:rPr>
            </w:r>
            <w:r w:rsidR="00F153A1">
              <w:rPr>
                <w:noProof/>
                <w:webHidden/>
              </w:rPr>
              <w:fldChar w:fldCharType="separate"/>
            </w:r>
            <w:r w:rsidR="00F153A1">
              <w:rPr>
                <w:noProof/>
                <w:webHidden/>
              </w:rPr>
              <w:t>12</w:t>
            </w:r>
            <w:r w:rsidR="00F153A1">
              <w:rPr>
                <w:noProof/>
                <w:webHidden/>
              </w:rPr>
              <w:fldChar w:fldCharType="end"/>
            </w:r>
          </w:hyperlink>
        </w:p>
        <w:p w14:paraId="6353CB01"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24" w:history="1">
            <w:r w:rsidR="00F153A1" w:rsidRPr="00377BBB">
              <w:rPr>
                <w:rStyle w:val="Hyperlink"/>
                <w:noProof/>
              </w:rPr>
              <w:t>Leflunomide</w:t>
            </w:r>
            <w:r w:rsidR="00F153A1">
              <w:rPr>
                <w:noProof/>
                <w:webHidden/>
              </w:rPr>
              <w:tab/>
            </w:r>
            <w:r w:rsidR="00F153A1">
              <w:rPr>
                <w:noProof/>
                <w:webHidden/>
              </w:rPr>
              <w:fldChar w:fldCharType="begin"/>
            </w:r>
            <w:r w:rsidR="00F153A1">
              <w:rPr>
                <w:noProof/>
                <w:webHidden/>
              </w:rPr>
              <w:instrText xml:space="preserve"> PAGEREF _Toc531873924 \h </w:instrText>
            </w:r>
            <w:r w:rsidR="00F153A1">
              <w:rPr>
                <w:noProof/>
                <w:webHidden/>
              </w:rPr>
            </w:r>
            <w:r w:rsidR="00F153A1">
              <w:rPr>
                <w:noProof/>
                <w:webHidden/>
              </w:rPr>
              <w:fldChar w:fldCharType="separate"/>
            </w:r>
            <w:r w:rsidR="00F153A1">
              <w:rPr>
                <w:noProof/>
                <w:webHidden/>
              </w:rPr>
              <w:t>13</w:t>
            </w:r>
            <w:r w:rsidR="00F153A1">
              <w:rPr>
                <w:noProof/>
                <w:webHidden/>
              </w:rPr>
              <w:fldChar w:fldCharType="end"/>
            </w:r>
          </w:hyperlink>
        </w:p>
        <w:p w14:paraId="209FE245"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25" w:history="1">
            <w:r w:rsidR="00F153A1" w:rsidRPr="00377BBB">
              <w:rPr>
                <w:rStyle w:val="Hyperlink"/>
                <w:noProof/>
              </w:rPr>
              <w:t>Methotrexate</w:t>
            </w:r>
            <w:r w:rsidR="00F153A1">
              <w:rPr>
                <w:noProof/>
                <w:webHidden/>
              </w:rPr>
              <w:tab/>
            </w:r>
            <w:r w:rsidR="00F153A1">
              <w:rPr>
                <w:noProof/>
                <w:webHidden/>
              </w:rPr>
              <w:fldChar w:fldCharType="begin"/>
            </w:r>
            <w:r w:rsidR="00F153A1">
              <w:rPr>
                <w:noProof/>
                <w:webHidden/>
              </w:rPr>
              <w:instrText xml:space="preserve"> PAGEREF _Toc531873925 \h </w:instrText>
            </w:r>
            <w:r w:rsidR="00F153A1">
              <w:rPr>
                <w:noProof/>
                <w:webHidden/>
              </w:rPr>
            </w:r>
            <w:r w:rsidR="00F153A1">
              <w:rPr>
                <w:noProof/>
                <w:webHidden/>
              </w:rPr>
              <w:fldChar w:fldCharType="separate"/>
            </w:r>
            <w:r w:rsidR="00F153A1">
              <w:rPr>
                <w:noProof/>
                <w:webHidden/>
              </w:rPr>
              <w:t>14</w:t>
            </w:r>
            <w:r w:rsidR="00F153A1">
              <w:rPr>
                <w:noProof/>
                <w:webHidden/>
              </w:rPr>
              <w:fldChar w:fldCharType="end"/>
            </w:r>
          </w:hyperlink>
        </w:p>
        <w:p w14:paraId="30B8430A"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26" w:history="1">
            <w:r w:rsidR="00F153A1" w:rsidRPr="00377BBB">
              <w:rPr>
                <w:rStyle w:val="Hyperlink"/>
                <w:noProof/>
              </w:rPr>
              <w:t>Mycophenolate mofetil</w:t>
            </w:r>
            <w:r w:rsidR="00F153A1">
              <w:rPr>
                <w:noProof/>
                <w:webHidden/>
              </w:rPr>
              <w:tab/>
            </w:r>
            <w:r w:rsidR="00F153A1">
              <w:rPr>
                <w:noProof/>
                <w:webHidden/>
              </w:rPr>
              <w:fldChar w:fldCharType="begin"/>
            </w:r>
            <w:r w:rsidR="00F153A1">
              <w:rPr>
                <w:noProof/>
                <w:webHidden/>
              </w:rPr>
              <w:instrText xml:space="preserve"> PAGEREF _Toc531873926 \h </w:instrText>
            </w:r>
            <w:r w:rsidR="00F153A1">
              <w:rPr>
                <w:noProof/>
                <w:webHidden/>
              </w:rPr>
            </w:r>
            <w:r w:rsidR="00F153A1">
              <w:rPr>
                <w:noProof/>
                <w:webHidden/>
              </w:rPr>
              <w:fldChar w:fldCharType="separate"/>
            </w:r>
            <w:r w:rsidR="00F153A1">
              <w:rPr>
                <w:noProof/>
                <w:webHidden/>
              </w:rPr>
              <w:t>15</w:t>
            </w:r>
            <w:r w:rsidR="00F153A1">
              <w:rPr>
                <w:noProof/>
                <w:webHidden/>
              </w:rPr>
              <w:fldChar w:fldCharType="end"/>
            </w:r>
          </w:hyperlink>
        </w:p>
        <w:p w14:paraId="27F0A589"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27" w:history="1">
            <w:r w:rsidR="00F153A1" w:rsidRPr="00377BBB">
              <w:rPr>
                <w:rStyle w:val="Hyperlink"/>
                <w:noProof/>
              </w:rPr>
              <w:t>Sulfasalazine</w:t>
            </w:r>
            <w:r w:rsidR="00F153A1">
              <w:rPr>
                <w:noProof/>
                <w:webHidden/>
              </w:rPr>
              <w:tab/>
            </w:r>
            <w:r w:rsidR="00F153A1">
              <w:rPr>
                <w:noProof/>
                <w:webHidden/>
              </w:rPr>
              <w:fldChar w:fldCharType="begin"/>
            </w:r>
            <w:r w:rsidR="00F153A1">
              <w:rPr>
                <w:noProof/>
                <w:webHidden/>
              </w:rPr>
              <w:instrText xml:space="preserve"> PAGEREF _Toc531873927 \h </w:instrText>
            </w:r>
            <w:r w:rsidR="00F153A1">
              <w:rPr>
                <w:noProof/>
                <w:webHidden/>
              </w:rPr>
            </w:r>
            <w:r w:rsidR="00F153A1">
              <w:rPr>
                <w:noProof/>
                <w:webHidden/>
              </w:rPr>
              <w:fldChar w:fldCharType="separate"/>
            </w:r>
            <w:r w:rsidR="00F153A1">
              <w:rPr>
                <w:noProof/>
                <w:webHidden/>
              </w:rPr>
              <w:t>16</w:t>
            </w:r>
            <w:r w:rsidR="00F153A1">
              <w:rPr>
                <w:noProof/>
                <w:webHidden/>
              </w:rPr>
              <w:fldChar w:fldCharType="end"/>
            </w:r>
          </w:hyperlink>
        </w:p>
        <w:p w14:paraId="560B3682" w14:textId="77777777" w:rsidR="00F153A1" w:rsidRDefault="00323D19">
          <w:pPr>
            <w:pStyle w:val="TOC1"/>
            <w:tabs>
              <w:tab w:val="left" w:pos="440"/>
              <w:tab w:val="right" w:leader="dot" w:pos="9016"/>
            </w:tabs>
            <w:rPr>
              <w:rFonts w:asciiTheme="minorHAnsi" w:eastAsiaTheme="minorEastAsia" w:hAnsiTheme="minorHAnsi" w:cstheme="minorBidi"/>
              <w:noProof/>
              <w:szCs w:val="22"/>
              <w:lang w:eastAsia="en-GB"/>
            </w:rPr>
          </w:pPr>
          <w:hyperlink w:anchor="_Toc531873928" w:history="1">
            <w:r w:rsidR="00F153A1" w:rsidRPr="00377BBB">
              <w:rPr>
                <w:rStyle w:val="Hyperlink"/>
                <w:noProof/>
              </w:rPr>
              <w:t>5.</w:t>
            </w:r>
            <w:r w:rsidR="00F153A1">
              <w:rPr>
                <w:rFonts w:asciiTheme="minorHAnsi" w:eastAsiaTheme="minorEastAsia" w:hAnsiTheme="minorHAnsi" w:cstheme="minorBidi"/>
                <w:noProof/>
                <w:szCs w:val="22"/>
                <w:lang w:eastAsia="en-GB"/>
              </w:rPr>
              <w:tab/>
            </w:r>
            <w:r w:rsidR="00F153A1" w:rsidRPr="00377BBB">
              <w:rPr>
                <w:rStyle w:val="Hyperlink"/>
                <w:noProof/>
              </w:rPr>
              <w:t>Biologic therapy (bDMARDs)</w:t>
            </w:r>
            <w:r w:rsidR="00F153A1">
              <w:rPr>
                <w:noProof/>
                <w:webHidden/>
              </w:rPr>
              <w:tab/>
            </w:r>
            <w:r w:rsidR="00F153A1">
              <w:rPr>
                <w:noProof/>
                <w:webHidden/>
              </w:rPr>
              <w:fldChar w:fldCharType="begin"/>
            </w:r>
            <w:r w:rsidR="00F153A1">
              <w:rPr>
                <w:noProof/>
                <w:webHidden/>
              </w:rPr>
              <w:instrText xml:space="preserve"> PAGEREF _Toc531873928 \h </w:instrText>
            </w:r>
            <w:r w:rsidR="00F153A1">
              <w:rPr>
                <w:noProof/>
                <w:webHidden/>
              </w:rPr>
            </w:r>
            <w:r w:rsidR="00F153A1">
              <w:rPr>
                <w:noProof/>
                <w:webHidden/>
              </w:rPr>
              <w:fldChar w:fldCharType="separate"/>
            </w:r>
            <w:r w:rsidR="00F153A1">
              <w:rPr>
                <w:noProof/>
                <w:webHidden/>
              </w:rPr>
              <w:t>17</w:t>
            </w:r>
            <w:r w:rsidR="00F153A1">
              <w:rPr>
                <w:noProof/>
                <w:webHidden/>
              </w:rPr>
              <w:fldChar w:fldCharType="end"/>
            </w:r>
          </w:hyperlink>
        </w:p>
        <w:p w14:paraId="07370CD8"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29" w:history="1">
            <w:r w:rsidR="00F153A1" w:rsidRPr="00377BBB">
              <w:rPr>
                <w:rStyle w:val="Hyperlink"/>
                <w:noProof/>
              </w:rPr>
              <w:t>Table 1 Current licensed TNF inhibitors (TNFi) available in the UK</w:t>
            </w:r>
            <w:r w:rsidR="00F153A1">
              <w:rPr>
                <w:noProof/>
                <w:webHidden/>
              </w:rPr>
              <w:tab/>
            </w:r>
            <w:r w:rsidR="00F153A1">
              <w:rPr>
                <w:noProof/>
                <w:webHidden/>
              </w:rPr>
              <w:fldChar w:fldCharType="begin"/>
            </w:r>
            <w:r w:rsidR="00F153A1">
              <w:rPr>
                <w:noProof/>
                <w:webHidden/>
              </w:rPr>
              <w:instrText xml:space="preserve"> PAGEREF _Toc531873929 \h </w:instrText>
            </w:r>
            <w:r w:rsidR="00F153A1">
              <w:rPr>
                <w:noProof/>
                <w:webHidden/>
              </w:rPr>
            </w:r>
            <w:r w:rsidR="00F153A1">
              <w:rPr>
                <w:noProof/>
                <w:webHidden/>
              </w:rPr>
              <w:fldChar w:fldCharType="separate"/>
            </w:r>
            <w:r w:rsidR="00F153A1">
              <w:rPr>
                <w:noProof/>
                <w:webHidden/>
              </w:rPr>
              <w:t>19</w:t>
            </w:r>
            <w:r w:rsidR="00F153A1">
              <w:rPr>
                <w:noProof/>
                <w:webHidden/>
              </w:rPr>
              <w:fldChar w:fldCharType="end"/>
            </w:r>
          </w:hyperlink>
        </w:p>
        <w:p w14:paraId="65F4785C"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30" w:history="1">
            <w:r w:rsidR="00F153A1" w:rsidRPr="00377BBB">
              <w:rPr>
                <w:rStyle w:val="Hyperlink"/>
                <w:noProof/>
              </w:rPr>
              <w:t>Table 2 Non-TNF biologic medicines</w:t>
            </w:r>
            <w:r w:rsidR="00F153A1">
              <w:rPr>
                <w:noProof/>
                <w:webHidden/>
              </w:rPr>
              <w:tab/>
            </w:r>
            <w:r w:rsidR="00F153A1">
              <w:rPr>
                <w:noProof/>
                <w:webHidden/>
              </w:rPr>
              <w:fldChar w:fldCharType="begin"/>
            </w:r>
            <w:r w:rsidR="00F153A1">
              <w:rPr>
                <w:noProof/>
                <w:webHidden/>
              </w:rPr>
              <w:instrText xml:space="preserve"> PAGEREF _Toc531873930 \h </w:instrText>
            </w:r>
            <w:r w:rsidR="00F153A1">
              <w:rPr>
                <w:noProof/>
                <w:webHidden/>
              </w:rPr>
            </w:r>
            <w:r w:rsidR="00F153A1">
              <w:rPr>
                <w:noProof/>
                <w:webHidden/>
              </w:rPr>
              <w:fldChar w:fldCharType="separate"/>
            </w:r>
            <w:r w:rsidR="00F153A1">
              <w:rPr>
                <w:noProof/>
                <w:webHidden/>
              </w:rPr>
              <w:t>22</w:t>
            </w:r>
            <w:r w:rsidR="00F153A1">
              <w:rPr>
                <w:noProof/>
                <w:webHidden/>
              </w:rPr>
              <w:fldChar w:fldCharType="end"/>
            </w:r>
          </w:hyperlink>
        </w:p>
        <w:p w14:paraId="6EBA3C9B"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31" w:history="1">
            <w:r w:rsidR="00F153A1" w:rsidRPr="00377BBB">
              <w:rPr>
                <w:rStyle w:val="Hyperlink"/>
                <w:noProof/>
              </w:rPr>
              <w:t>Table 3: targeted synthetic DMARDS</w:t>
            </w:r>
            <w:r w:rsidR="00F153A1">
              <w:rPr>
                <w:noProof/>
                <w:webHidden/>
              </w:rPr>
              <w:tab/>
            </w:r>
            <w:r w:rsidR="00F153A1">
              <w:rPr>
                <w:noProof/>
                <w:webHidden/>
              </w:rPr>
              <w:fldChar w:fldCharType="begin"/>
            </w:r>
            <w:r w:rsidR="00F153A1">
              <w:rPr>
                <w:noProof/>
                <w:webHidden/>
              </w:rPr>
              <w:instrText xml:space="preserve"> PAGEREF _Toc531873931 \h </w:instrText>
            </w:r>
            <w:r w:rsidR="00F153A1">
              <w:rPr>
                <w:noProof/>
                <w:webHidden/>
              </w:rPr>
            </w:r>
            <w:r w:rsidR="00F153A1">
              <w:rPr>
                <w:noProof/>
                <w:webHidden/>
              </w:rPr>
              <w:fldChar w:fldCharType="separate"/>
            </w:r>
            <w:r w:rsidR="00F153A1">
              <w:rPr>
                <w:noProof/>
                <w:webHidden/>
              </w:rPr>
              <w:t>23</w:t>
            </w:r>
            <w:r w:rsidR="00F153A1">
              <w:rPr>
                <w:noProof/>
                <w:webHidden/>
              </w:rPr>
              <w:fldChar w:fldCharType="end"/>
            </w:r>
          </w:hyperlink>
        </w:p>
        <w:p w14:paraId="79B408AE"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32" w:history="1">
            <w:r w:rsidR="00F153A1" w:rsidRPr="00377BBB">
              <w:rPr>
                <w:rStyle w:val="Hyperlink"/>
                <w:noProof/>
                <w:lang w:eastAsia="en-GB"/>
              </w:rPr>
              <w:t>Biosimilars</w:t>
            </w:r>
            <w:r w:rsidR="00F153A1">
              <w:rPr>
                <w:noProof/>
                <w:webHidden/>
              </w:rPr>
              <w:tab/>
            </w:r>
            <w:r w:rsidR="00F153A1">
              <w:rPr>
                <w:noProof/>
                <w:webHidden/>
              </w:rPr>
              <w:fldChar w:fldCharType="begin"/>
            </w:r>
            <w:r w:rsidR="00F153A1">
              <w:rPr>
                <w:noProof/>
                <w:webHidden/>
              </w:rPr>
              <w:instrText xml:space="preserve"> PAGEREF _Toc531873932 \h </w:instrText>
            </w:r>
            <w:r w:rsidR="00F153A1">
              <w:rPr>
                <w:noProof/>
                <w:webHidden/>
              </w:rPr>
            </w:r>
            <w:r w:rsidR="00F153A1">
              <w:rPr>
                <w:noProof/>
                <w:webHidden/>
              </w:rPr>
              <w:fldChar w:fldCharType="separate"/>
            </w:r>
            <w:r w:rsidR="00F153A1">
              <w:rPr>
                <w:noProof/>
                <w:webHidden/>
              </w:rPr>
              <w:t>23</w:t>
            </w:r>
            <w:r w:rsidR="00F153A1">
              <w:rPr>
                <w:noProof/>
                <w:webHidden/>
              </w:rPr>
              <w:fldChar w:fldCharType="end"/>
            </w:r>
          </w:hyperlink>
        </w:p>
        <w:p w14:paraId="0ABDFD84"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33" w:history="1">
            <w:r w:rsidR="00F153A1" w:rsidRPr="00377BBB">
              <w:rPr>
                <w:rStyle w:val="Hyperlink"/>
                <w:noProof/>
              </w:rPr>
              <w:t>Treatment with TNF inhibitors (safety issues)</w:t>
            </w:r>
            <w:r w:rsidR="00F153A1">
              <w:rPr>
                <w:noProof/>
                <w:webHidden/>
              </w:rPr>
              <w:tab/>
            </w:r>
            <w:r w:rsidR="00F153A1">
              <w:rPr>
                <w:noProof/>
                <w:webHidden/>
              </w:rPr>
              <w:fldChar w:fldCharType="begin"/>
            </w:r>
            <w:r w:rsidR="00F153A1">
              <w:rPr>
                <w:noProof/>
                <w:webHidden/>
              </w:rPr>
              <w:instrText xml:space="preserve"> PAGEREF _Toc531873933 \h </w:instrText>
            </w:r>
            <w:r w:rsidR="00F153A1">
              <w:rPr>
                <w:noProof/>
                <w:webHidden/>
              </w:rPr>
            </w:r>
            <w:r w:rsidR="00F153A1">
              <w:rPr>
                <w:noProof/>
                <w:webHidden/>
              </w:rPr>
              <w:fldChar w:fldCharType="separate"/>
            </w:r>
            <w:r w:rsidR="00F153A1">
              <w:rPr>
                <w:noProof/>
                <w:webHidden/>
              </w:rPr>
              <w:t>24</w:t>
            </w:r>
            <w:r w:rsidR="00F153A1">
              <w:rPr>
                <w:noProof/>
                <w:webHidden/>
              </w:rPr>
              <w:fldChar w:fldCharType="end"/>
            </w:r>
          </w:hyperlink>
        </w:p>
        <w:p w14:paraId="35B35FA2"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34" w:history="1">
            <w:r w:rsidR="00F153A1" w:rsidRPr="00377BBB">
              <w:rPr>
                <w:rStyle w:val="Hyperlink"/>
                <w:noProof/>
              </w:rPr>
              <w:t>Abatacept (Orencia®)</w:t>
            </w:r>
            <w:r w:rsidR="00F153A1">
              <w:rPr>
                <w:noProof/>
                <w:webHidden/>
              </w:rPr>
              <w:tab/>
            </w:r>
            <w:r w:rsidR="00F153A1">
              <w:rPr>
                <w:noProof/>
                <w:webHidden/>
              </w:rPr>
              <w:fldChar w:fldCharType="begin"/>
            </w:r>
            <w:r w:rsidR="00F153A1">
              <w:rPr>
                <w:noProof/>
                <w:webHidden/>
              </w:rPr>
              <w:instrText xml:space="preserve"> PAGEREF _Toc531873934 \h </w:instrText>
            </w:r>
            <w:r w:rsidR="00F153A1">
              <w:rPr>
                <w:noProof/>
                <w:webHidden/>
              </w:rPr>
            </w:r>
            <w:r w:rsidR="00F153A1">
              <w:rPr>
                <w:noProof/>
                <w:webHidden/>
              </w:rPr>
              <w:fldChar w:fldCharType="separate"/>
            </w:r>
            <w:r w:rsidR="00F153A1">
              <w:rPr>
                <w:noProof/>
                <w:webHidden/>
              </w:rPr>
              <w:t>26</w:t>
            </w:r>
            <w:r w:rsidR="00F153A1">
              <w:rPr>
                <w:noProof/>
                <w:webHidden/>
              </w:rPr>
              <w:fldChar w:fldCharType="end"/>
            </w:r>
          </w:hyperlink>
        </w:p>
        <w:p w14:paraId="3D68A9E9"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35" w:history="1">
            <w:r w:rsidR="00F153A1" w:rsidRPr="00377BBB">
              <w:rPr>
                <w:rStyle w:val="Hyperlink"/>
                <w:noProof/>
              </w:rPr>
              <w:t>Adalimumab (Humira</w:t>
            </w:r>
            <w:r w:rsidR="00F153A1" w:rsidRPr="00377BBB">
              <w:rPr>
                <w:rStyle w:val="Hyperlink"/>
                <w:rFonts w:cs="Arial"/>
                <w:noProof/>
              </w:rPr>
              <w:t>®</w:t>
            </w:r>
            <w:r w:rsidR="00F153A1" w:rsidRPr="00377BBB">
              <w:rPr>
                <w:rStyle w:val="Hyperlink"/>
                <w:noProof/>
              </w:rPr>
              <w:t>)</w:t>
            </w:r>
            <w:r w:rsidR="00F153A1">
              <w:rPr>
                <w:noProof/>
                <w:webHidden/>
              </w:rPr>
              <w:tab/>
            </w:r>
            <w:r w:rsidR="00F153A1">
              <w:rPr>
                <w:noProof/>
                <w:webHidden/>
              </w:rPr>
              <w:fldChar w:fldCharType="begin"/>
            </w:r>
            <w:r w:rsidR="00F153A1">
              <w:rPr>
                <w:noProof/>
                <w:webHidden/>
              </w:rPr>
              <w:instrText xml:space="preserve"> PAGEREF _Toc531873935 \h </w:instrText>
            </w:r>
            <w:r w:rsidR="00F153A1">
              <w:rPr>
                <w:noProof/>
                <w:webHidden/>
              </w:rPr>
            </w:r>
            <w:r w:rsidR="00F153A1">
              <w:rPr>
                <w:noProof/>
                <w:webHidden/>
              </w:rPr>
              <w:fldChar w:fldCharType="separate"/>
            </w:r>
            <w:r w:rsidR="00F153A1">
              <w:rPr>
                <w:noProof/>
                <w:webHidden/>
              </w:rPr>
              <w:t>27</w:t>
            </w:r>
            <w:r w:rsidR="00F153A1">
              <w:rPr>
                <w:noProof/>
                <w:webHidden/>
              </w:rPr>
              <w:fldChar w:fldCharType="end"/>
            </w:r>
          </w:hyperlink>
        </w:p>
        <w:p w14:paraId="734B243C"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36" w:history="1">
            <w:r w:rsidR="00F153A1" w:rsidRPr="00377BBB">
              <w:rPr>
                <w:rStyle w:val="Hyperlink"/>
                <w:noProof/>
              </w:rPr>
              <w:t>Belimumb (Benlysta®)</w:t>
            </w:r>
            <w:r w:rsidR="00F153A1">
              <w:rPr>
                <w:noProof/>
                <w:webHidden/>
              </w:rPr>
              <w:tab/>
            </w:r>
            <w:r w:rsidR="00F153A1">
              <w:rPr>
                <w:noProof/>
                <w:webHidden/>
              </w:rPr>
              <w:fldChar w:fldCharType="begin"/>
            </w:r>
            <w:r w:rsidR="00F153A1">
              <w:rPr>
                <w:noProof/>
                <w:webHidden/>
              </w:rPr>
              <w:instrText xml:space="preserve"> PAGEREF _Toc531873936 \h </w:instrText>
            </w:r>
            <w:r w:rsidR="00F153A1">
              <w:rPr>
                <w:noProof/>
                <w:webHidden/>
              </w:rPr>
            </w:r>
            <w:r w:rsidR="00F153A1">
              <w:rPr>
                <w:noProof/>
                <w:webHidden/>
              </w:rPr>
              <w:fldChar w:fldCharType="separate"/>
            </w:r>
            <w:r w:rsidR="00F153A1">
              <w:rPr>
                <w:noProof/>
                <w:webHidden/>
              </w:rPr>
              <w:t>28</w:t>
            </w:r>
            <w:r w:rsidR="00F153A1">
              <w:rPr>
                <w:noProof/>
                <w:webHidden/>
              </w:rPr>
              <w:fldChar w:fldCharType="end"/>
            </w:r>
          </w:hyperlink>
        </w:p>
        <w:p w14:paraId="24BA14C6"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37" w:history="1">
            <w:r w:rsidR="00F153A1" w:rsidRPr="00377BBB">
              <w:rPr>
                <w:rStyle w:val="Hyperlink"/>
                <w:noProof/>
                <w:lang w:val="it-IT"/>
              </w:rPr>
              <w:t>Certolizumab Pegol (Cimzia</w:t>
            </w:r>
            <w:r w:rsidR="00F153A1" w:rsidRPr="00377BBB">
              <w:rPr>
                <w:rStyle w:val="Hyperlink"/>
                <w:rFonts w:cs="Arial"/>
                <w:noProof/>
                <w:lang w:val="it-IT"/>
              </w:rPr>
              <w:t>®</w:t>
            </w:r>
            <w:r w:rsidR="00F153A1" w:rsidRPr="00377BBB">
              <w:rPr>
                <w:rStyle w:val="Hyperlink"/>
                <w:noProof/>
                <w:lang w:val="it-IT"/>
              </w:rPr>
              <w:t>)</w:t>
            </w:r>
            <w:r w:rsidR="00F153A1">
              <w:rPr>
                <w:noProof/>
                <w:webHidden/>
              </w:rPr>
              <w:tab/>
            </w:r>
            <w:r w:rsidR="00F153A1">
              <w:rPr>
                <w:noProof/>
                <w:webHidden/>
              </w:rPr>
              <w:fldChar w:fldCharType="begin"/>
            </w:r>
            <w:r w:rsidR="00F153A1">
              <w:rPr>
                <w:noProof/>
                <w:webHidden/>
              </w:rPr>
              <w:instrText xml:space="preserve"> PAGEREF _Toc531873937 \h </w:instrText>
            </w:r>
            <w:r w:rsidR="00F153A1">
              <w:rPr>
                <w:noProof/>
                <w:webHidden/>
              </w:rPr>
            </w:r>
            <w:r w:rsidR="00F153A1">
              <w:rPr>
                <w:noProof/>
                <w:webHidden/>
              </w:rPr>
              <w:fldChar w:fldCharType="separate"/>
            </w:r>
            <w:r w:rsidR="00F153A1">
              <w:rPr>
                <w:noProof/>
                <w:webHidden/>
              </w:rPr>
              <w:t>30</w:t>
            </w:r>
            <w:r w:rsidR="00F153A1">
              <w:rPr>
                <w:noProof/>
                <w:webHidden/>
              </w:rPr>
              <w:fldChar w:fldCharType="end"/>
            </w:r>
          </w:hyperlink>
        </w:p>
        <w:p w14:paraId="11BBB6E4"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38" w:history="1">
            <w:r w:rsidR="00F153A1" w:rsidRPr="00377BBB">
              <w:rPr>
                <w:rStyle w:val="Hyperlink"/>
                <w:noProof/>
              </w:rPr>
              <w:t>Etanercept (Enbrel®)</w:t>
            </w:r>
            <w:r w:rsidR="00F153A1">
              <w:rPr>
                <w:noProof/>
                <w:webHidden/>
              </w:rPr>
              <w:tab/>
            </w:r>
            <w:r w:rsidR="00F153A1">
              <w:rPr>
                <w:noProof/>
                <w:webHidden/>
              </w:rPr>
              <w:fldChar w:fldCharType="begin"/>
            </w:r>
            <w:r w:rsidR="00F153A1">
              <w:rPr>
                <w:noProof/>
                <w:webHidden/>
              </w:rPr>
              <w:instrText xml:space="preserve"> PAGEREF _Toc531873938 \h </w:instrText>
            </w:r>
            <w:r w:rsidR="00F153A1">
              <w:rPr>
                <w:noProof/>
                <w:webHidden/>
              </w:rPr>
            </w:r>
            <w:r w:rsidR="00F153A1">
              <w:rPr>
                <w:noProof/>
                <w:webHidden/>
              </w:rPr>
              <w:fldChar w:fldCharType="separate"/>
            </w:r>
            <w:r w:rsidR="00F153A1">
              <w:rPr>
                <w:noProof/>
                <w:webHidden/>
              </w:rPr>
              <w:t>31</w:t>
            </w:r>
            <w:r w:rsidR="00F153A1">
              <w:rPr>
                <w:noProof/>
                <w:webHidden/>
              </w:rPr>
              <w:fldChar w:fldCharType="end"/>
            </w:r>
          </w:hyperlink>
        </w:p>
        <w:p w14:paraId="6963FCD3"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39" w:history="1">
            <w:r w:rsidR="00F153A1" w:rsidRPr="00377BBB">
              <w:rPr>
                <w:rStyle w:val="Hyperlink"/>
                <w:noProof/>
              </w:rPr>
              <w:t>Golimumab (Simponi</w:t>
            </w:r>
            <w:r w:rsidR="00F153A1" w:rsidRPr="00377BBB">
              <w:rPr>
                <w:rStyle w:val="Hyperlink"/>
                <w:rFonts w:cs="Arial"/>
                <w:noProof/>
              </w:rPr>
              <w:t>®</w:t>
            </w:r>
            <w:r w:rsidR="00F153A1" w:rsidRPr="00377BBB">
              <w:rPr>
                <w:rStyle w:val="Hyperlink"/>
                <w:noProof/>
              </w:rPr>
              <w:t>)</w:t>
            </w:r>
            <w:r w:rsidR="00F153A1">
              <w:rPr>
                <w:noProof/>
                <w:webHidden/>
              </w:rPr>
              <w:tab/>
            </w:r>
            <w:r w:rsidR="00F153A1">
              <w:rPr>
                <w:noProof/>
                <w:webHidden/>
              </w:rPr>
              <w:fldChar w:fldCharType="begin"/>
            </w:r>
            <w:r w:rsidR="00F153A1">
              <w:rPr>
                <w:noProof/>
                <w:webHidden/>
              </w:rPr>
              <w:instrText xml:space="preserve"> PAGEREF _Toc531873939 \h </w:instrText>
            </w:r>
            <w:r w:rsidR="00F153A1">
              <w:rPr>
                <w:noProof/>
                <w:webHidden/>
              </w:rPr>
            </w:r>
            <w:r w:rsidR="00F153A1">
              <w:rPr>
                <w:noProof/>
                <w:webHidden/>
              </w:rPr>
              <w:fldChar w:fldCharType="separate"/>
            </w:r>
            <w:r w:rsidR="00F153A1">
              <w:rPr>
                <w:noProof/>
                <w:webHidden/>
              </w:rPr>
              <w:t>32</w:t>
            </w:r>
            <w:r w:rsidR="00F153A1">
              <w:rPr>
                <w:noProof/>
                <w:webHidden/>
              </w:rPr>
              <w:fldChar w:fldCharType="end"/>
            </w:r>
          </w:hyperlink>
        </w:p>
        <w:p w14:paraId="3BE72D1A"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40" w:history="1">
            <w:r w:rsidR="00F153A1" w:rsidRPr="00377BBB">
              <w:rPr>
                <w:rStyle w:val="Hyperlink"/>
                <w:noProof/>
              </w:rPr>
              <w:t>Infliximab (Remicade®)</w:t>
            </w:r>
            <w:r w:rsidR="00F153A1">
              <w:rPr>
                <w:noProof/>
                <w:webHidden/>
              </w:rPr>
              <w:tab/>
            </w:r>
            <w:r w:rsidR="00F153A1">
              <w:rPr>
                <w:noProof/>
                <w:webHidden/>
              </w:rPr>
              <w:fldChar w:fldCharType="begin"/>
            </w:r>
            <w:r w:rsidR="00F153A1">
              <w:rPr>
                <w:noProof/>
                <w:webHidden/>
              </w:rPr>
              <w:instrText xml:space="preserve"> PAGEREF _Toc531873940 \h </w:instrText>
            </w:r>
            <w:r w:rsidR="00F153A1">
              <w:rPr>
                <w:noProof/>
                <w:webHidden/>
              </w:rPr>
            </w:r>
            <w:r w:rsidR="00F153A1">
              <w:rPr>
                <w:noProof/>
                <w:webHidden/>
              </w:rPr>
              <w:fldChar w:fldCharType="separate"/>
            </w:r>
            <w:r w:rsidR="00F153A1">
              <w:rPr>
                <w:noProof/>
                <w:webHidden/>
              </w:rPr>
              <w:t>33</w:t>
            </w:r>
            <w:r w:rsidR="00F153A1">
              <w:rPr>
                <w:noProof/>
                <w:webHidden/>
              </w:rPr>
              <w:fldChar w:fldCharType="end"/>
            </w:r>
          </w:hyperlink>
        </w:p>
        <w:p w14:paraId="2EBA215A"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41" w:history="1">
            <w:r w:rsidR="00F153A1" w:rsidRPr="00377BBB">
              <w:rPr>
                <w:rStyle w:val="Hyperlink"/>
                <w:noProof/>
              </w:rPr>
              <w:t>Rituximab (Mabthera®)</w:t>
            </w:r>
            <w:r w:rsidR="00F153A1">
              <w:rPr>
                <w:noProof/>
                <w:webHidden/>
              </w:rPr>
              <w:tab/>
            </w:r>
            <w:r w:rsidR="00F153A1">
              <w:rPr>
                <w:noProof/>
                <w:webHidden/>
              </w:rPr>
              <w:fldChar w:fldCharType="begin"/>
            </w:r>
            <w:r w:rsidR="00F153A1">
              <w:rPr>
                <w:noProof/>
                <w:webHidden/>
              </w:rPr>
              <w:instrText xml:space="preserve"> PAGEREF _Toc531873941 \h </w:instrText>
            </w:r>
            <w:r w:rsidR="00F153A1">
              <w:rPr>
                <w:noProof/>
                <w:webHidden/>
              </w:rPr>
            </w:r>
            <w:r w:rsidR="00F153A1">
              <w:rPr>
                <w:noProof/>
                <w:webHidden/>
              </w:rPr>
              <w:fldChar w:fldCharType="separate"/>
            </w:r>
            <w:r w:rsidR="00F153A1">
              <w:rPr>
                <w:noProof/>
                <w:webHidden/>
              </w:rPr>
              <w:t>35</w:t>
            </w:r>
            <w:r w:rsidR="00F153A1">
              <w:rPr>
                <w:noProof/>
                <w:webHidden/>
              </w:rPr>
              <w:fldChar w:fldCharType="end"/>
            </w:r>
          </w:hyperlink>
        </w:p>
        <w:p w14:paraId="359E4A8B"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42" w:history="1">
            <w:r w:rsidR="00F153A1" w:rsidRPr="00377BBB">
              <w:rPr>
                <w:rStyle w:val="Hyperlink"/>
                <w:noProof/>
              </w:rPr>
              <w:t>Tocilizumab (Roactemra®)</w:t>
            </w:r>
            <w:r w:rsidR="00F153A1">
              <w:rPr>
                <w:noProof/>
                <w:webHidden/>
              </w:rPr>
              <w:tab/>
            </w:r>
            <w:r w:rsidR="00F153A1">
              <w:rPr>
                <w:noProof/>
                <w:webHidden/>
              </w:rPr>
              <w:fldChar w:fldCharType="begin"/>
            </w:r>
            <w:r w:rsidR="00F153A1">
              <w:rPr>
                <w:noProof/>
                <w:webHidden/>
              </w:rPr>
              <w:instrText xml:space="preserve"> PAGEREF _Toc531873942 \h </w:instrText>
            </w:r>
            <w:r w:rsidR="00F153A1">
              <w:rPr>
                <w:noProof/>
                <w:webHidden/>
              </w:rPr>
            </w:r>
            <w:r w:rsidR="00F153A1">
              <w:rPr>
                <w:noProof/>
                <w:webHidden/>
              </w:rPr>
              <w:fldChar w:fldCharType="separate"/>
            </w:r>
            <w:r w:rsidR="00F153A1">
              <w:rPr>
                <w:noProof/>
                <w:webHidden/>
              </w:rPr>
              <w:t>37</w:t>
            </w:r>
            <w:r w:rsidR="00F153A1">
              <w:rPr>
                <w:noProof/>
                <w:webHidden/>
              </w:rPr>
              <w:fldChar w:fldCharType="end"/>
            </w:r>
          </w:hyperlink>
        </w:p>
        <w:p w14:paraId="149E8FF7"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43" w:history="1">
            <w:r w:rsidR="00F153A1" w:rsidRPr="00377BBB">
              <w:rPr>
                <w:rStyle w:val="Hyperlink"/>
                <w:rFonts w:eastAsia="Arial Unicode MS"/>
                <w:noProof/>
              </w:rPr>
              <w:t>Ixekizumab (Taltz</w:t>
            </w:r>
            <w:r w:rsidR="00F153A1" w:rsidRPr="00377BBB">
              <w:rPr>
                <w:rStyle w:val="Hyperlink"/>
                <w:rFonts w:ascii="MS Gothic" w:eastAsia="MS Gothic" w:hAnsi="MS Gothic" w:cs="MS Gothic" w:hint="eastAsia"/>
                <w:noProof/>
              </w:rPr>
              <w:t>Ⓡ</w:t>
            </w:r>
            <w:r w:rsidR="00F153A1" w:rsidRPr="00377BBB">
              <w:rPr>
                <w:rStyle w:val="Hyperlink"/>
                <w:rFonts w:eastAsia="Arial Unicode MS"/>
                <w:noProof/>
              </w:rPr>
              <w:t>)</w:t>
            </w:r>
            <w:r w:rsidR="00F153A1">
              <w:rPr>
                <w:noProof/>
                <w:webHidden/>
              </w:rPr>
              <w:tab/>
            </w:r>
            <w:r w:rsidR="00F153A1">
              <w:rPr>
                <w:noProof/>
                <w:webHidden/>
              </w:rPr>
              <w:fldChar w:fldCharType="begin"/>
            </w:r>
            <w:r w:rsidR="00F153A1">
              <w:rPr>
                <w:noProof/>
                <w:webHidden/>
              </w:rPr>
              <w:instrText xml:space="preserve"> PAGEREF _Toc531873943 \h </w:instrText>
            </w:r>
            <w:r w:rsidR="00F153A1">
              <w:rPr>
                <w:noProof/>
                <w:webHidden/>
              </w:rPr>
            </w:r>
            <w:r w:rsidR="00F153A1">
              <w:rPr>
                <w:noProof/>
                <w:webHidden/>
              </w:rPr>
              <w:fldChar w:fldCharType="separate"/>
            </w:r>
            <w:r w:rsidR="00F153A1">
              <w:rPr>
                <w:noProof/>
                <w:webHidden/>
              </w:rPr>
              <w:t>39</w:t>
            </w:r>
            <w:r w:rsidR="00F153A1">
              <w:rPr>
                <w:noProof/>
                <w:webHidden/>
              </w:rPr>
              <w:fldChar w:fldCharType="end"/>
            </w:r>
          </w:hyperlink>
        </w:p>
        <w:p w14:paraId="2205A590"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44" w:history="1">
            <w:r w:rsidR="00F153A1" w:rsidRPr="00377BBB">
              <w:rPr>
                <w:rStyle w:val="Hyperlink"/>
                <w:rFonts w:eastAsia="Arial Unicode MS"/>
                <w:noProof/>
              </w:rPr>
              <w:t>Sarilumab (Kevzara</w:t>
            </w:r>
            <w:r w:rsidR="00F153A1" w:rsidRPr="00377BBB">
              <w:rPr>
                <w:rStyle w:val="Hyperlink"/>
                <w:rFonts w:ascii="MS Gothic" w:eastAsia="MS Gothic" w:hAnsi="MS Gothic" w:cs="MS Gothic" w:hint="eastAsia"/>
                <w:noProof/>
              </w:rPr>
              <w:t>Ⓡ</w:t>
            </w:r>
            <w:r w:rsidR="00F153A1" w:rsidRPr="00377BBB">
              <w:rPr>
                <w:rStyle w:val="Hyperlink"/>
                <w:rFonts w:eastAsia="Arial Unicode MS"/>
                <w:noProof/>
              </w:rPr>
              <w:t>)</w:t>
            </w:r>
            <w:r w:rsidR="00F153A1">
              <w:rPr>
                <w:noProof/>
                <w:webHidden/>
              </w:rPr>
              <w:tab/>
            </w:r>
            <w:r w:rsidR="00F153A1">
              <w:rPr>
                <w:noProof/>
                <w:webHidden/>
              </w:rPr>
              <w:fldChar w:fldCharType="begin"/>
            </w:r>
            <w:r w:rsidR="00F153A1">
              <w:rPr>
                <w:noProof/>
                <w:webHidden/>
              </w:rPr>
              <w:instrText xml:space="preserve"> PAGEREF _Toc531873944 \h </w:instrText>
            </w:r>
            <w:r w:rsidR="00F153A1">
              <w:rPr>
                <w:noProof/>
                <w:webHidden/>
              </w:rPr>
            </w:r>
            <w:r w:rsidR="00F153A1">
              <w:rPr>
                <w:noProof/>
                <w:webHidden/>
              </w:rPr>
              <w:fldChar w:fldCharType="separate"/>
            </w:r>
            <w:r w:rsidR="00F153A1">
              <w:rPr>
                <w:noProof/>
                <w:webHidden/>
              </w:rPr>
              <w:t>40</w:t>
            </w:r>
            <w:r w:rsidR="00F153A1">
              <w:rPr>
                <w:noProof/>
                <w:webHidden/>
              </w:rPr>
              <w:fldChar w:fldCharType="end"/>
            </w:r>
          </w:hyperlink>
        </w:p>
        <w:p w14:paraId="4DAD4CF2"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45" w:history="1">
            <w:r w:rsidR="00F153A1" w:rsidRPr="00377BBB">
              <w:rPr>
                <w:rStyle w:val="Hyperlink"/>
                <w:noProof/>
              </w:rPr>
              <w:t>Secukinumab (Cosentyx</w:t>
            </w:r>
            <w:r w:rsidR="00F153A1" w:rsidRPr="00377BBB">
              <w:rPr>
                <w:rStyle w:val="Hyperlink"/>
                <w:rFonts w:ascii="MS Gothic" w:eastAsia="MS Gothic" w:hAnsi="MS Gothic" w:cs="MS Gothic" w:hint="eastAsia"/>
                <w:noProof/>
              </w:rPr>
              <w:t>Ⓡ</w:t>
            </w:r>
            <w:r w:rsidR="00F153A1" w:rsidRPr="00377BBB">
              <w:rPr>
                <w:rStyle w:val="Hyperlink"/>
                <w:noProof/>
              </w:rPr>
              <w:t>)</w:t>
            </w:r>
            <w:r w:rsidR="00F153A1">
              <w:rPr>
                <w:noProof/>
                <w:webHidden/>
              </w:rPr>
              <w:tab/>
            </w:r>
            <w:r w:rsidR="00F153A1">
              <w:rPr>
                <w:noProof/>
                <w:webHidden/>
              </w:rPr>
              <w:fldChar w:fldCharType="begin"/>
            </w:r>
            <w:r w:rsidR="00F153A1">
              <w:rPr>
                <w:noProof/>
                <w:webHidden/>
              </w:rPr>
              <w:instrText xml:space="preserve"> PAGEREF _Toc531873945 \h </w:instrText>
            </w:r>
            <w:r w:rsidR="00F153A1">
              <w:rPr>
                <w:noProof/>
                <w:webHidden/>
              </w:rPr>
            </w:r>
            <w:r w:rsidR="00F153A1">
              <w:rPr>
                <w:noProof/>
                <w:webHidden/>
              </w:rPr>
              <w:fldChar w:fldCharType="separate"/>
            </w:r>
            <w:r w:rsidR="00F153A1">
              <w:rPr>
                <w:noProof/>
                <w:webHidden/>
              </w:rPr>
              <w:t>41</w:t>
            </w:r>
            <w:r w:rsidR="00F153A1">
              <w:rPr>
                <w:noProof/>
                <w:webHidden/>
              </w:rPr>
              <w:fldChar w:fldCharType="end"/>
            </w:r>
          </w:hyperlink>
        </w:p>
        <w:p w14:paraId="0C6DAC45"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46" w:history="1">
            <w:r w:rsidR="00F153A1" w:rsidRPr="00377BBB">
              <w:rPr>
                <w:rStyle w:val="Hyperlink"/>
                <w:noProof/>
              </w:rPr>
              <w:t>Ustekinumab (Stelara</w:t>
            </w:r>
            <w:r w:rsidR="00F153A1" w:rsidRPr="00377BBB">
              <w:rPr>
                <w:rStyle w:val="Hyperlink"/>
                <w:rFonts w:ascii="MS Gothic" w:eastAsia="MS Gothic" w:hAnsi="MS Gothic" w:cs="MS Gothic" w:hint="eastAsia"/>
                <w:noProof/>
              </w:rPr>
              <w:t>Ⓡ</w:t>
            </w:r>
            <w:r w:rsidR="00F153A1" w:rsidRPr="00377BBB">
              <w:rPr>
                <w:rStyle w:val="Hyperlink"/>
                <w:noProof/>
              </w:rPr>
              <w:t>)</w:t>
            </w:r>
            <w:r w:rsidR="00F153A1">
              <w:rPr>
                <w:noProof/>
                <w:webHidden/>
              </w:rPr>
              <w:tab/>
            </w:r>
            <w:r w:rsidR="00F153A1">
              <w:rPr>
                <w:noProof/>
                <w:webHidden/>
              </w:rPr>
              <w:fldChar w:fldCharType="begin"/>
            </w:r>
            <w:r w:rsidR="00F153A1">
              <w:rPr>
                <w:noProof/>
                <w:webHidden/>
              </w:rPr>
              <w:instrText xml:space="preserve"> PAGEREF _Toc531873946 \h </w:instrText>
            </w:r>
            <w:r w:rsidR="00F153A1">
              <w:rPr>
                <w:noProof/>
                <w:webHidden/>
              </w:rPr>
            </w:r>
            <w:r w:rsidR="00F153A1">
              <w:rPr>
                <w:noProof/>
                <w:webHidden/>
              </w:rPr>
              <w:fldChar w:fldCharType="separate"/>
            </w:r>
            <w:r w:rsidR="00F153A1">
              <w:rPr>
                <w:noProof/>
                <w:webHidden/>
              </w:rPr>
              <w:t>42</w:t>
            </w:r>
            <w:r w:rsidR="00F153A1">
              <w:rPr>
                <w:noProof/>
                <w:webHidden/>
              </w:rPr>
              <w:fldChar w:fldCharType="end"/>
            </w:r>
          </w:hyperlink>
        </w:p>
        <w:p w14:paraId="66768A10" w14:textId="77777777" w:rsidR="00F153A1" w:rsidRDefault="00323D19">
          <w:pPr>
            <w:pStyle w:val="TOC1"/>
            <w:tabs>
              <w:tab w:val="left" w:pos="440"/>
              <w:tab w:val="right" w:leader="dot" w:pos="9016"/>
            </w:tabs>
            <w:rPr>
              <w:rFonts w:asciiTheme="minorHAnsi" w:eastAsiaTheme="minorEastAsia" w:hAnsiTheme="minorHAnsi" w:cstheme="minorBidi"/>
              <w:noProof/>
              <w:szCs w:val="22"/>
              <w:lang w:eastAsia="en-GB"/>
            </w:rPr>
          </w:pPr>
          <w:hyperlink w:anchor="_Toc531873947" w:history="1">
            <w:r w:rsidR="00F153A1" w:rsidRPr="00377BBB">
              <w:rPr>
                <w:rStyle w:val="Hyperlink"/>
                <w:rFonts w:eastAsia="Arial Unicode MS"/>
                <w:noProof/>
              </w:rPr>
              <w:t>6.</w:t>
            </w:r>
            <w:r w:rsidR="00F153A1">
              <w:rPr>
                <w:rFonts w:asciiTheme="minorHAnsi" w:eastAsiaTheme="minorEastAsia" w:hAnsiTheme="minorHAnsi" w:cstheme="minorBidi"/>
                <w:noProof/>
                <w:szCs w:val="22"/>
                <w:lang w:eastAsia="en-GB"/>
              </w:rPr>
              <w:tab/>
            </w:r>
            <w:r w:rsidR="00F153A1" w:rsidRPr="00377BBB">
              <w:rPr>
                <w:rStyle w:val="Hyperlink"/>
                <w:rFonts w:eastAsia="Arial Unicode MS"/>
                <w:noProof/>
              </w:rPr>
              <w:t>Targeted Synthetic DMARDS (tsDMARDS)</w:t>
            </w:r>
            <w:r w:rsidR="00F153A1">
              <w:rPr>
                <w:noProof/>
                <w:webHidden/>
              </w:rPr>
              <w:tab/>
            </w:r>
            <w:r w:rsidR="00F153A1">
              <w:rPr>
                <w:noProof/>
                <w:webHidden/>
              </w:rPr>
              <w:fldChar w:fldCharType="begin"/>
            </w:r>
            <w:r w:rsidR="00F153A1">
              <w:rPr>
                <w:noProof/>
                <w:webHidden/>
              </w:rPr>
              <w:instrText xml:space="preserve"> PAGEREF _Toc531873947 \h </w:instrText>
            </w:r>
            <w:r w:rsidR="00F153A1">
              <w:rPr>
                <w:noProof/>
                <w:webHidden/>
              </w:rPr>
            </w:r>
            <w:r w:rsidR="00F153A1">
              <w:rPr>
                <w:noProof/>
                <w:webHidden/>
              </w:rPr>
              <w:fldChar w:fldCharType="separate"/>
            </w:r>
            <w:r w:rsidR="00F153A1">
              <w:rPr>
                <w:noProof/>
                <w:webHidden/>
              </w:rPr>
              <w:t>43</w:t>
            </w:r>
            <w:r w:rsidR="00F153A1">
              <w:rPr>
                <w:noProof/>
                <w:webHidden/>
              </w:rPr>
              <w:fldChar w:fldCharType="end"/>
            </w:r>
          </w:hyperlink>
        </w:p>
        <w:p w14:paraId="6C9B6E16"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48" w:history="1">
            <w:r w:rsidR="00F153A1" w:rsidRPr="00377BBB">
              <w:rPr>
                <w:rStyle w:val="Hyperlink"/>
                <w:rFonts w:eastAsia="Arial Unicode MS"/>
                <w:noProof/>
              </w:rPr>
              <w:t>Apremilast (Otezla</w:t>
            </w:r>
            <w:r w:rsidR="00F153A1" w:rsidRPr="00377BBB">
              <w:rPr>
                <w:rStyle w:val="Hyperlink"/>
                <w:rFonts w:ascii="MS Gothic" w:eastAsia="MS Gothic" w:hAnsi="MS Gothic" w:cs="MS Gothic" w:hint="eastAsia"/>
                <w:noProof/>
              </w:rPr>
              <w:t>Ⓡ</w:t>
            </w:r>
            <w:r w:rsidR="00F153A1" w:rsidRPr="00377BBB">
              <w:rPr>
                <w:rStyle w:val="Hyperlink"/>
                <w:rFonts w:eastAsia="Arial Unicode MS"/>
                <w:noProof/>
              </w:rPr>
              <w:t xml:space="preserve"> )</w:t>
            </w:r>
            <w:r w:rsidR="00F153A1">
              <w:rPr>
                <w:noProof/>
                <w:webHidden/>
              </w:rPr>
              <w:tab/>
            </w:r>
            <w:r w:rsidR="00F153A1">
              <w:rPr>
                <w:noProof/>
                <w:webHidden/>
              </w:rPr>
              <w:fldChar w:fldCharType="begin"/>
            </w:r>
            <w:r w:rsidR="00F153A1">
              <w:rPr>
                <w:noProof/>
                <w:webHidden/>
              </w:rPr>
              <w:instrText xml:space="preserve"> PAGEREF _Toc531873948 \h </w:instrText>
            </w:r>
            <w:r w:rsidR="00F153A1">
              <w:rPr>
                <w:noProof/>
                <w:webHidden/>
              </w:rPr>
            </w:r>
            <w:r w:rsidR="00F153A1">
              <w:rPr>
                <w:noProof/>
                <w:webHidden/>
              </w:rPr>
              <w:fldChar w:fldCharType="separate"/>
            </w:r>
            <w:r w:rsidR="00F153A1">
              <w:rPr>
                <w:noProof/>
                <w:webHidden/>
              </w:rPr>
              <w:t>43</w:t>
            </w:r>
            <w:r w:rsidR="00F153A1">
              <w:rPr>
                <w:noProof/>
                <w:webHidden/>
              </w:rPr>
              <w:fldChar w:fldCharType="end"/>
            </w:r>
          </w:hyperlink>
        </w:p>
        <w:p w14:paraId="21DB3FE0"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49" w:history="1">
            <w:r w:rsidR="00F153A1" w:rsidRPr="00377BBB">
              <w:rPr>
                <w:rStyle w:val="Hyperlink"/>
                <w:rFonts w:eastAsia="Arial Unicode MS"/>
                <w:noProof/>
              </w:rPr>
              <w:t>Baricitinib (Olumiant</w:t>
            </w:r>
            <w:r w:rsidR="00F153A1" w:rsidRPr="00377BBB">
              <w:rPr>
                <w:rStyle w:val="Hyperlink"/>
                <w:rFonts w:ascii="MS Gothic" w:eastAsia="MS Gothic" w:hAnsi="MS Gothic" w:cs="MS Gothic" w:hint="eastAsia"/>
                <w:noProof/>
              </w:rPr>
              <w:t>Ⓡ</w:t>
            </w:r>
            <w:r w:rsidR="00F153A1" w:rsidRPr="00377BBB">
              <w:rPr>
                <w:rStyle w:val="Hyperlink"/>
                <w:rFonts w:eastAsia="Arial Unicode MS"/>
                <w:noProof/>
              </w:rPr>
              <w:t>)</w:t>
            </w:r>
            <w:r w:rsidR="00F153A1">
              <w:rPr>
                <w:noProof/>
                <w:webHidden/>
              </w:rPr>
              <w:tab/>
            </w:r>
            <w:r w:rsidR="00F153A1">
              <w:rPr>
                <w:noProof/>
                <w:webHidden/>
              </w:rPr>
              <w:fldChar w:fldCharType="begin"/>
            </w:r>
            <w:r w:rsidR="00F153A1">
              <w:rPr>
                <w:noProof/>
                <w:webHidden/>
              </w:rPr>
              <w:instrText xml:space="preserve"> PAGEREF _Toc531873949 \h </w:instrText>
            </w:r>
            <w:r w:rsidR="00F153A1">
              <w:rPr>
                <w:noProof/>
                <w:webHidden/>
              </w:rPr>
            </w:r>
            <w:r w:rsidR="00F153A1">
              <w:rPr>
                <w:noProof/>
                <w:webHidden/>
              </w:rPr>
              <w:fldChar w:fldCharType="separate"/>
            </w:r>
            <w:r w:rsidR="00F153A1">
              <w:rPr>
                <w:noProof/>
                <w:webHidden/>
              </w:rPr>
              <w:t>44</w:t>
            </w:r>
            <w:r w:rsidR="00F153A1">
              <w:rPr>
                <w:noProof/>
                <w:webHidden/>
              </w:rPr>
              <w:fldChar w:fldCharType="end"/>
            </w:r>
          </w:hyperlink>
        </w:p>
        <w:p w14:paraId="732E2DD8" w14:textId="77777777" w:rsidR="00F153A1" w:rsidRDefault="00323D19">
          <w:pPr>
            <w:pStyle w:val="TOC2"/>
            <w:tabs>
              <w:tab w:val="right" w:leader="dot" w:pos="9016"/>
            </w:tabs>
            <w:rPr>
              <w:rFonts w:asciiTheme="minorHAnsi" w:eastAsiaTheme="minorEastAsia" w:hAnsiTheme="minorHAnsi" w:cstheme="minorBidi"/>
              <w:noProof/>
              <w:sz w:val="22"/>
              <w:szCs w:val="22"/>
              <w:lang w:eastAsia="en-GB"/>
            </w:rPr>
          </w:pPr>
          <w:hyperlink w:anchor="_Toc531873950" w:history="1">
            <w:r w:rsidR="00F153A1" w:rsidRPr="00377BBB">
              <w:rPr>
                <w:rStyle w:val="Hyperlink"/>
                <w:rFonts w:eastAsia="Arial Unicode MS"/>
                <w:noProof/>
              </w:rPr>
              <w:t>Tofacitinib Citrate (Xeljanz</w:t>
            </w:r>
            <w:r w:rsidR="00F153A1" w:rsidRPr="00377BBB">
              <w:rPr>
                <w:rStyle w:val="Hyperlink"/>
                <w:rFonts w:ascii="MS Gothic" w:eastAsia="MS Gothic" w:hAnsi="MS Gothic" w:cs="MS Gothic" w:hint="eastAsia"/>
                <w:noProof/>
              </w:rPr>
              <w:t>Ⓡ</w:t>
            </w:r>
            <w:r w:rsidR="00F153A1" w:rsidRPr="00377BBB">
              <w:rPr>
                <w:rStyle w:val="Hyperlink"/>
                <w:rFonts w:eastAsia="Arial Unicode MS"/>
                <w:noProof/>
              </w:rPr>
              <w:t>)</w:t>
            </w:r>
            <w:r w:rsidR="00F153A1">
              <w:rPr>
                <w:noProof/>
                <w:webHidden/>
              </w:rPr>
              <w:tab/>
            </w:r>
            <w:r w:rsidR="00F153A1">
              <w:rPr>
                <w:noProof/>
                <w:webHidden/>
              </w:rPr>
              <w:fldChar w:fldCharType="begin"/>
            </w:r>
            <w:r w:rsidR="00F153A1">
              <w:rPr>
                <w:noProof/>
                <w:webHidden/>
              </w:rPr>
              <w:instrText xml:space="preserve"> PAGEREF _Toc531873950 \h </w:instrText>
            </w:r>
            <w:r w:rsidR="00F153A1">
              <w:rPr>
                <w:noProof/>
                <w:webHidden/>
              </w:rPr>
            </w:r>
            <w:r w:rsidR="00F153A1">
              <w:rPr>
                <w:noProof/>
                <w:webHidden/>
              </w:rPr>
              <w:fldChar w:fldCharType="separate"/>
            </w:r>
            <w:r w:rsidR="00F153A1">
              <w:rPr>
                <w:noProof/>
                <w:webHidden/>
              </w:rPr>
              <w:t>45</w:t>
            </w:r>
            <w:r w:rsidR="00F153A1">
              <w:rPr>
                <w:noProof/>
                <w:webHidden/>
              </w:rPr>
              <w:fldChar w:fldCharType="end"/>
            </w:r>
          </w:hyperlink>
        </w:p>
        <w:p w14:paraId="4DA19D85" w14:textId="77777777" w:rsidR="00F153A1" w:rsidRDefault="00323D19">
          <w:pPr>
            <w:pStyle w:val="TOC1"/>
            <w:tabs>
              <w:tab w:val="left" w:pos="440"/>
              <w:tab w:val="right" w:leader="dot" w:pos="9016"/>
            </w:tabs>
            <w:rPr>
              <w:rFonts w:asciiTheme="minorHAnsi" w:eastAsiaTheme="minorEastAsia" w:hAnsiTheme="minorHAnsi" w:cstheme="minorBidi"/>
              <w:noProof/>
              <w:szCs w:val="22"/>
              <w:lang w:eastAsia="en-GB"/>
            </w:rPr>
          </w:pPr>
          <w:hyperlink w:anchor="_Toc531873951" w:history="1">
            <w:r w:rsidR="00F153A1" w:rsidRPr="00377BBB">
              <w:rPr>
                <w:rStyle w:val="Hyperlink"/>
                <w:noProof/>
              </w:rPr>
              <w:t>7.</w:t>
            </w:r>
            <w:r w:rsidR="00F153A1">
              <w:rPr>
                <w:rFonts w:asciiTheme="minorHAnsi" w:eastAsiaTheme="minorEastAsia" w:hAnsiTheme="minorHAnsi" w:cstheme="minorBidi"/>
                <w:noProof/>
                <w:szCs w:val="22"/>
                <w:lang w:eastAsia="en-GB"/>
              </w:rPr>
              <w:tab/>
            </w:r>
            <w:r w:rsidR="00F153A1" w:rsidRPr="00377BBB">
              <w:rPr>
                <w:rStyle w:val="Hyperlink"/>
                <w:noProof/>
              </w:rPr>
              <w:t>Guidance on vaccination and travel in patients receiving DMARDs</w:t>
            </w:r>
            <w:r w:rsidR="00F153A1">
              <w:rPr>
                <w:noProof/>
                <w:webHidden/>
              </w:rPr>
              <w:tab/>
            </w:r>
            <w:r w:rsidR="00F153A1">
              <w:rPr>
                <w:noProof/>
                <w:webHidden/>
              </w:rPr>
              <w:fldChar w:fldCharType="begin"/>
            </w:r>
            <w:r w:rsidR="00F153A1">
              <w:rPr>
                <w:noProof/>
                <w:webHidden/>
              </w:rPr>
              <w:instrText xml:space="preserve"> PAGEREF _Toc531873951 \h </w:instrText>
            </w:r>
            <w:r w:rsidR="00F153A1">
              <w:rPr>
                <w:noProof/>
                <w:webHidden/>
              </w:rPr>
            </w:r>
            <w:r w:rsidR="00F153A1">
              <w:rPr>
                <w:noProof/>
                <w:webHidden/>
              </w:rPr>
              <w:fldChar w:fldCharType="separate"/>
            </w:r>
            <w:r w:rsidR="00F153A1">
              <w:rPr>
                <w:noProof/>
                <w:webHidden/>
              </w:rPr>
              <w:t>46</w:t>
            </w:r>
            <w:r w:rsidR="00F153A1">
              <w:rPr>
                <w:noProof/>
                <w:webHidden/>
              </w:rPr>
              <w:fldChar w:fldCharType="end"/>
            </w:r>
          </w:hyperlink>
        </w:p>
        <w:p w14:paraId="4C24E071" w14:textId="77777777" w:rsidR="00F153A1" w:rsidRDefault="00323D19">
          <w:pPr>
            <w:pStyle w:val="TOC1"/>
            <w:tabs>
              <w:tab w:val="left" w:pos="440"/>
              <w:tab w:val="right" w:leader="dot" w:pos="9016"/>
            </w:tabs>
            <w:rPr>
              <w:rFonts w:asciiTheme="minorHAnsi" w:eastAsiaTheme="minorEastAsia" w:hAnsiTheme="minorHAnsi" w:cstheme="minorBidi"/>
              <w:noProof/>
              <w:szCs w:val="22"/>
              <w:lang w:eastAsia="en-GB"/>
            </w:rPr>
          </w:pPr>
          <w:hyperlink w:anchor="_Toc531873952" w:history="1">
            <w:r w:rsidR="00F153A1" w:rsidRPr="00377BBB">
              <w:rPr>
                <w:rStyle w:val="Hyperlink"/>
                <w:noProof/>
              </w:rPr>
              <w:t>8.</w:t>
            </w:r>
            <w:r w:rsidR="00F153A1">
              <w:rPr>
                <w:rFonts w:asciiTheme="minorHAnsi" w:eastAsiaTheme="minorEastAsia" w:hAnsiTheme="minorHAnsi" w:cstheme="minorBidi"/>
                <w:noProof/>
                <w:szCs w:val="22"/>
                <w:lang w:eastAsia="en-GB"/>
              </w:rPr>
              <w:tab/>
            </w:r>
            <w:r w:rsidR="00F153A1" w:rsidRPr="00377BBB">
              <w:rPr>
                <w:rStyle w:val="Hyperlink"/>
                <w:noProof/>
              </w:rPr>
              <w:t>Recommendations for patients undergoing surgical procedures</w:t>
            </w:r>
            <w:r w:rsidR="00F153A1">
              <w:rPr>
                <w:noProof/>
                <w:webHidden/>
              </w:rPr>
              <w:tab/>
            </w:r>
            <w:r w:rsidR="00F153A1">
              <w:rPr>
                <w:noProof/>
                <w:webHidden/>
              </w:rPr>
              <w:fldChar w:fldCharType="begin"/>
            </w:r>
            <w:r w:rsidR="00F153A1">
              <w:rPr>
                <w:noProof/>
                <w:webHidden/>
              </w:rPr>
              <w:instrText xml:space="preserve"> PAGEREF _Toc531873952 \h </w:instrText>
            </w:r>
            <w:r w:rsidR="00F153A1">
              <w:rPr>
                <w:noProof/>
                <w:webHidden/>
              </w:rPr>
            </w:r>
            <w:r w:rsidR="00F153A1">
              <w:rPr>
                <w:noProof/>
                <w:webHidden/>
              </w:rPr>
              <w:fldChar w:fldCharType="separate"/>
            </w:r>
            <w:r w:rsidR="00F153A1">
              <w:rPr>
                <w:noProof/>
                <w:webHidden/>
              </w:rPr>
              <w:t>52</w:t>
            </w:r>
            <w:r w:rsidR="00F153A1">
              <w:rPr>
                <w:noProof/>
                <w:webHidden/>
              </w:rPr>
              <w:fldChar w:fldCharType="end"/>
            </w:r>
          </w:hyperlink>
        </w:p>
        <w:p w14:paraId="3DC322D2" w14:textId="77777777" w:rsidR="00F153A1" w:rsidRDefault="00323D19">
          <w:pPr>
            <w:pStyle w:val="TOC1"/>
            <w:tabs>
              <w:tab w:val="left" w:pos="440"/>
              <w:tab w:val="right" w:leader="dot" w:pos="9016"/>
            </w:tabs>
            <w:rPr>
              <w:rFonts w:asciiTheme="minorHAnsi" w:eastAsiaTheme="minorEastAsia" w:hAnsiTheme="minorHAnsi" w:cstheme="minorBidi"/>
              <w:noProof/>
              <w:szCs w:val="22"/>
              <w:lang w:eastAsia="en-GB"/>
            </w:rPr>
          </w:pPr>
          <w:hyperlink w:anchor="_Toc531873953" w:history="1">
            <w:r w:rsidR="00F153A1" w:rsidRPr="00377BBB">
              <w:rPr>
                <w:rStyle w:val="Hyperlink"/>
                <w:noProof/>
              </w:rPr>
              <w:t>9.</w:t>
            </w:r>
            <w:r w:rsidR="00F153A1">
              <w:rPr>
                <w:rFonts w:asciiTheme="minorHAnsi" w:eastAsiaTheme="minorEastAsia" w:hAnsiTheme="minorHAnsi" w:cstheme="minorBidi"/>
                <w:noProof/>
                <w:szCs w:val="22"/>
                <w:lang w:eastAsia="en-GB"/>
              </w:rPr>
              <w:tab/>
            </w:r>
            <w:r w:rsidR="00F153A1" w:rsidRPr="00377BBB">
              <w:rPr>
                <w:rStyle w:val="Hyperlink"/>
                <w:noProof/>
              </w:rPr>
              <w:t>Guidance on use of DMARDS in pregnancy</w:t>
            </w:r>
            <w:r w:rsidR="00F153A1">
              <w:rPr>
                <w:noProof/>
                <w:webHidden/>
              </w:rPr>
              <w:tab/>
            </w:r>
            <w:r w:rsidR="00F153A1">
              <w:rPr>
                <w:noProof/>
                <w:webHidden/>
              </w:rPr>
              <w:fldChar w:fldCharType="begin"/>
            </w:r>
            <w:r w:rsidR="00F153A1">
              <w:rPr>
                <w:noProof/>
                <w:webHidden/>
              </w:rPr>
              <w:instrText xml:space="preserve"> PAGEREF _Toc531873953 \h </w:instrText>
            </w:r>
            <w:r w:rsidR="00F153A1">
              <w:rPr>
                <w:noProof/>
                <w:webHidden/>
              </w:rPr>
            </w:r>
            <w:r w:rsidR="00F153A1">
              <w:rPr>
                <w:noProof/>
                <w:webHidden/>
              </w:rPr>
              <w:fldChar w:fldCharType="separate"/>
            </w:r>
            <w:r w:rsidR="00F153A1">
              <w:rPr>
                <w:noProof/>
                <w:webHidden/>
              </w:rPr>
              <w:t>54</w:t>
            </w:r>
            <w:r w:rsidR="00F153A1">
              <w:rPr>
                <w:noProof/>
                <w:webHidden/>
              </w:rPr>
              <w:fldChar w:fldCharType="end"/>
            </w:r>
          </w:hyperlink>
        </w:p>
        <w:p w14:paraId="021BAEFB" w14:textId="77777777" w:rsidR="00F153A1" w:rsidRDefault="00323D19">
          <w:pPr>
            <w:pStyle w:val="TOC1"/>
            <w:tabs>
              <w:tab w:val="left" w:pos="660"/>
              <w:tab w:val="right" w:leader="dot" w:pos="9016"/>
            </w:tabs>
            <w:rPr>
              <w:rFonts w:asciiTheme="minorHAnsi" w:eastAsiaTheme="minorEastAsia" w:hAnsiTheme="minorHAnsi" w:cstheme="minorBidi"/>
              <w:noProof/>
              <w:szCs w:val="22"/>
              <w:lang w:eastAsia="en-GB"/>
            </w:rPr>
          </w:pPr>
          <w:hyperlink w:anchor="_Toc531873954" w:history="1">
            <w:r w:rsidR="00F153A1" w:rsidRPr="00377BBB">
              <w:rPr>
                <w:rStyle w:val="Hyperlink"/>
                <w:noProof/>
              </w:rPr>
              <w:t>10.</w:t>
            </w:r>
            <w:r w:rsidR="00F153A1">
              <w:rPr>
                <w:rFonts w:asciiTheme="minorHAnsi" w:eastAsiaTheme="minorEastAsia" w:hAnsiTheme="minorHAnsi" w:cstheme="minorBidi"/>
                <w:noProof/>
                <w:szCs w:val="22"/>
                <w:lang w:eastAsia="en-GB"/>
              </w:rPr>
              <w:tab/>
            </w:r>
            <w:r w:rsidR="00F153A1" w:rsidRPr="00377BBB">
              <w:rPr>
                <w:rStyle w:val="Hyperlink"/>
                <w:noProof/>
              </w:rPr>
              <w:t>References:</w:t>
            </w:r>
            <w:r w:rsidR="00F153A1">
              <w:rPr>
                <w:noProof/>
                <w:webHidden/>
              </w:rPr>
              <w:tab/>
            </w:r>
            <w:r w:rsidR="00F153A1">
              <w:rPr>
                <w:noProof/>
                <w:webHidden/>
              </w:rPr>
              <w:fldChar w:fldCharType="begin"/>
            </w:r>
            <w:r w:rsidR="00F153A1">
              <w:rPr>
                <w:noProof/>
                <w:webHidden/>
              </w:rPr>
              <w:instrText xml:space="preserve"> PAGEREF _Toc531873954 \h </w:instrText>
            </w:r>
            <w:r w:rsidR="00F153A1">
              <w:rPr>
                <w:noProof/>
                <w:webHidden/>
              </w:rPr>
            </w:r>
            <w:r w:rsidR="00F153A1">
              <w:rPr>
                <w:noProof/>
                <w:webHidden/>
              </w:rPr>
              <w:fldChar w:fldCharType="separate"/>
            </w:r>
            <w:r w:rsidR="00F153A1">
              <w:rPr>
                <w:noProof/>
                <w:webHidden/>
              </w:rPr>
              <w:t>59</w:t>
            </w:r>
            <w:r w:rsidR="00F153A1">
              <w:rPr>
                <w:noProof/>
                <w:webHidden/>
              </w:rPr>
              <w:fldChar w:fldCharType="end"/>
            </w:r>
          </w:hyperlink>
        </w:p>
        <w:p w14:paraId="1FF55107" w14:textId="2D28A8F5" w:rsidR="00B979F5" w:rsidRPr="00884993" w:rsidRDefault="00884993" w:rsidP="00884993">
          <w:r>
            <w:rPr>
              <w:b/>
              <w:bCs/>
              <w:noProof/>
              <w:sz w:val="22"/>
            </w:rPr>
            <w:fldChar w:fldCharType="end"/>
          </w:r>
        </w:p>
      </w:sdtContent>
    </w:sdt>
    <w:p w14:paraId="17DB222D" w14:textId="77777777" w:rsidR="00CA3B20" w:rsidRDefault="00CA3B20">
      <w:pPr>
        <w:overflowPunct/>
        <w:autoSpaceDE/>
        <w:autoSpaceDN/>
        <w:adjustRightInd/>
        <w:spacing w:after="160" w:line="259" w:lineRule="auto"/>
        <w:textAlignment w:val="auto"/>
        <w:rPr>
          <w:rFonts w:eastAsiaTheme="majorEastAsia" w:cstheme="majorBidi"/>
          <w:b/>
          <w:sz w:val="32"/>
          <w:szCs w:val="32"/>
        </w:rPr>
      </w:pPr>
      <w:r>
        <w:br w:type="page"/>
      </w:r>
    </w:p>
    <w:p w14:paraId="09D37A4E" w14:textId="244F78D4" w:rsidR="00B21346" w:rsidRDefault="00A37EB9" w:rsidP="002B2FEE">
      <w:pPr>
        <w:pStyle w:val="Heading1"/>
      </w:pPr>
      <w:bookmarkStart w:id="2" w:name="_Toc531873916"/>
      <w:r>
        <w:lastRenderedPageBreak/>
        <w:t>Abbreviations</w:t>
      </w:r>
      <w:bookmarkEnd w:id="2"/>
    </w:p>
    <w:p w14:paraId="24F4D87D" w14:textId="73CD8201" w:rsidR="00A37EB9" w:rsidRDefault="00A37EB9">
      <w:pPr>
        <w:overflowPunct/>
        <w:autoSpaceDE/>
        <w:autoSpaceDN/>
        <w:adjustRightInd/>
        <w:spacing w:after="160" w:line="259" w:lineRule="auto"/>
        <w:textAlignment w:val="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37EB9" w14:paraId="4B2A38B2" w14:textId="77777777" w:rsidTr="00F153A1">
        <w:tc>
          <w:tcPr>
            <w:tcW w:w="4508" w:type="dxa"/>
          </w:tcPr>
          <w:p w14:paraId="15708A47" w14:textId="13651429" w:rsidR="00A37EB9" w:rsidRDefault="00A37EB9">
            <w:pPr>
              <w:overflowPunct/>
              <w:autoSpaceDE/>
              <w:autoSpaceDN/>
              <w:adjustRightInd/>
              <w:spacing w:after="160" w:line="259" w:lineRule="auto"/>
              <w:textAlignment w:val="auto"/>
            </w:pPr>
            <w:r>
              <w:t>ALC</w:t>
            </w:r>
          </w:p>
        </w:tc>
        <w:tc>
          <w:tcPr>
            <w:tcW w:w="4508" w:type="dxa"/>
          </w:tcPr>
          <w:p w14:paraId="19757C32" w14:textId="3C37E983" w:rsidR="00A37EB9" w:rsidRDefault="00A37EB9">
            <w:pPr>
              <w:overflowPunct/>
              <w:autoSpaceDE/>
              <w:autoSpaceDN/>
              <w:adjustRightInd/>
              <w:spacing w:after="160" w:line="259" w:lineRule="auto"/>
              <w:textAlignment w:val="auto"/>
            </w:pPr>
            <w:r>
              <w:t>Absolute Lymphocyte Count</w:t>
            </w:r>
          </w:p>
        </w:tc>
      </w:tr>
      <w:tr w:rsidR="00347979" w14:paraId="72A7E26B" w14:textId="77777777" w:rsidTr="00F153A1">
        <w:tc>
          <w:tcPr>
            <w:tcW w:w="4508" w:type="dxa"/>
          </w:tcPr>
          <w:p w14:paraId="2DCDD6C9" w14:textId="5DA7D207" w:rsidR="00347979" w:rsidRDefault="00347979" w:rsidP="00347979">
            <w:pPr>
              <w:overflowPunct/>
              <w:autoSpaceDE/>
              <w:autoSpaceDN/>
              <w:adjustRightInd/>
              <w:spacing w:after="160" w:line="259" w:lineRule="auto"/>
              <w:textAlignment w:val="auto"/>
            </w:pPr>
            <w:r>
              <w:t>ANC</w:t>
            </w:r>
          </w:p>
        </w:tc>
        <w:tc>
          <w:tcPr>
            <w:tcW w:w="4508" w:type="dxa"/>
          </w:tcPr>
          <w:p w14:paraId="4CB5B9DB" w14:textId="37E934A4" w:rsidR="00347979" w:rsidRDefault="00347979" w:rsidP="00347979">
            <w:pPr>
              <w:overflowPunct/>
              <w:autoSpaceDE/>
              <w:autoSpaceDN/>
              <w:adjustRightInd/>
              <w:spacing w:after="160" w:line="259" w:lineRule="auto"/>
              <w:textAlignment w:val="auto"/>
            </w:pPr>
            <w:r>
              <w:t>Absolute Neutrophil Count</w:t>
            </w:r>
          </w:p>
        </w:tc>
      </w:tr>
      <w:tr w:rsidR="00347979" w14:paraId="4FE5A2F0" w14:textId="77777777" w:rsidTr="00F153A1">
        <w:tc>
          <w:tcPr>
            <w:tcW w:w="4508" w:type="dxa"/>
          </w:tcPr>
          <w:p w14:paraId="2DA6173C" w14:textId="275DFB42" w:rsidR="00347979" w:rsidRDefault="00347979" w:rsidP="00347979">
            <w:pPr>
              <w:overflowPunct/>
              <w:autoSpaceDE/>
              <w:autoSpaceDN/>
              <w:adjustRightInd/>
              <w:spacing w:after="160" w:line="259" w:lineRule="auto"/>
              <w:textAlignment w:val="auto"/>
            </w:pPr>
            <w:r>
              <w:t>C/I</w:t>
            </w:r>
          </w:p>
        </w:tc>
        <w:tc>
          <w:tcPr>
            <w:tcW w:w="4508" w:type="dxa"/>
          </w:tcPr>
          <w:p w14:paraId="57D63615" w14:textId="34A90E13" w:rsidR="00347979" w:rsidRDefault="00347979" w:rsidP="00347979">
            <w:pPr>
              <w:overflowPunct/>
              <w:autoSpaceDE/>
              <w:autoSpaceDN/>
              <w:adjustRightInd/>
              <w:spacing w:after="160" w:line="259" w:lineRule="auto"/>
              <w:textAlignment w:val="auto"/>
            </w:pPr>
            <w:r>
              <w:t>Contraindications</w:t>
            </w:r>
          </w:p>
        </w:tc>
      </w:tr>
      <w:tr w:rsidR="00347979" w14:paraId="2359EDBF" w14:textId="77777777" w:rsidTr="00F153A1">
        <w:tc>
          <w:tcPr>
            <w:tcW w:w="4508" w:type="dxa"/>
          </w:tcPr>
          <w:p w14:paraId="37A8ACD3" w14:textId="55A20B04" w:rsidR="00347979" w:rsidRDefault="00FB2B7D" w:rsidP="00FB2B7D">
            <w:pPr>
              <w:overflowPunct/>
              <w:autoSpaceDE/>
              <w:autoSpaceDN/>
              <w:adjustRightInd/>
              <w:spacing w:after="160" w:line="259" w:lineRule="auto"/>
              <w:textAlignment w:val="auto"/>
            </w:pPr>
            <w:r w:rsidRPr="00FB2B7D">
              <w:t xml:space="preserve">CrCl </w:t>
            </w:r>
          </w:p>
        </w:tc>
        <w:tc>
          <w:tcPr>
            <w:tcW w:w="4508" w:type="dxa"/>
          </w:tcPr>
          <w:p w14:paraId="5CFAFA1C" w14:textId="7A6E28F5" w:rsidR="00347979" w:rsidRDefault="00FB2B7D" w:rsidP="00347979">
            <w:pPr>
              <w:overflowPunct/>
              <w:autoSpaceDE/>
              <w:autoSpaceDN/>
              <w:adjustRightInd/>
              <w:spacing w:after="160" w:line="259" w:lineRule="auto"/>
              <w:textAlignment w:val="auto"/>
            </w:pPr>
            <w:r>
              <w:t>C</w:t>
            </w:r>
            <w:r w:rsidRPr="00FB2B7D">
              <w:t>reatinine clearance</w:t>
            </w:r>
          </w:p>
        </w:tc>
      </w:tr>
      <w:tr w:rsidR="00D67096" w14:paraId="75D98374" w14:textId="77777777" w:rsidTr="00F153A1">
        <w:tc>
          <w:tcPr>
            <w:tcW w:w="4508" w:type="dxa"/>
          </w:tcPr>
          <w:p w14:paraId="03A072BF" w14:textId="006F7670" w:rsidR="00D67096" w:rsidRPr="00FB2B7D" w:rsidRDefault="00D67096" w:rsidP="00FB2B7D">
            <w:pPr>
              <w:overflowPunct/>
              <w:autoSpaceDE/>
              <w:autoSpaceDN/>
              <w:adjustRightInd/>
              <w:spacing w:after="160" w:line="259" w:lineRule="auto"/>
              <w:textAlignment w:val="auto"/>
            </w:pPr>
            <w:r>
              <w:t>csDMAR</w:t>
            </w:r>
            <w:r w:rsidR="00F153A1">
              <w:t>D</w:t>
            </w:r>
          </w:p>
        </w:tc>
        <w:tc>
          <w:tcPr>
            <w:tcW w:w="4508" w:type="dxa"/>
          </w:tcPr>
          <w:p w14:paraId="3D5EB884" w14:textId="01096C7A" w:rsidR="00D67096" w:rsidRDefault="00F153A1" w:rsidP="00347979">
            <w:pPr>
              <w:overflowPunct/>
              <w:autoSpaceDE/>
              <w:autoSpaceDN/>
              <w:adjustRightInd/>
              <w:spacing w:after="160" w:line="259" w:lineRule="auto"/>
              <w:textAlignment w:val="auto"/>
            </w:pPr>
            <w:r>
              <w:t>Conventional Standard DMARD</w:t>
            </w:r>
          </w:p>
        </w:tc>
      </w:tr>
      <w:tr w:rsidR="00347979" w14:paraId="1173B43E" w14:textId="77777777" w:rsidTr="00F153A1">
        <w:tc>
          <w:tcPr>
            <w:tcW w:w="4508" w:type="dxa"/>
          </w:tcPr>
          <w:p w14:paraId="4C028F9A" w14:textId="62C5539A" w:rsidR="00347979" w:rsidRDefault="00B014CA" w:rsidP="00347979">
            <w:pPr>
              <w:overflowPunct/>
              <w:autoSpaceDE/>
              <w:autoSpaceDN/>
              <w:adjustRightInd/>
              <w:spacing w:after="160" w:line="259" w:lineRule="auto"/>
              <w:textAlignment w:val="auto"/>
            </w:pPr>
            <w:r>
              <w:t>Nr</w:t>
            </w:r>
          </w:p>
        </w:tc>
        <w:tc>
          <w:tcPr>
            <w:tcW w:w="4508" w:type="dxa"/>
          </w:tcPr>
          <w:p w14:paraId="194BF145" w14:textId="0E9D271E" w:rsidR="00347979" w:rsidRDefault="00B014CA" w:rsidP="00347979">
            <w:pPr>
              <w:overflowPunct/>
              <w:autoSpaceDE/>
              <w:autoSpaceDN/>
              <w:adjustRightInd/>
              <w:spacing w:after="160" w:line="259" w:lineRule="auto"/>
              <w:textAlignment w:val="auto"/>
            </w:pPr>
            <w:r>
              <w:t>Non radiographic</w:t>
            </w:r>
          </w:p>
        </w:tc>
      </w:tr>
      <w:tr w:rsidR="00347979" w14:paraId="5690C6F9" w14:textId="77777777" w:rsidTr="00F153A1">
        <w:tc>
          <w:tcPr>
            <w:tcW w:w="4508" w:type="dxa"/>
          </w:tcPr>
          <w:p w14:paraId="1ED66FA3" w14:textId="1E8AD2A0" w:rsidR="00347979" w:rsidRDefault="00FB2B7D" w:rsidP="00347979">
            <w:pPr>
              <w:overflowPunct/>
              <w:autoSpaceDE/>
              <w:autoSpaceDN/>
              <w:adjustRightInd/>
              <w:spacing w:after="160" w:line="259" w:lineRule="auto"/>
              <w:textAlignment w:val="auto"/>
            </w:pPr>
            <w:r w:rsidRPr="00FB2B7D">
              <w:t>SPC</w:t>
            </w:r>
          </w:p>
        </w:tc>
        <w:tc>
          <w:tcPr>
            <w:tcW w:w="4508" w:type="dxa"/>
          </w:tcPr>
          <w:p w14:paraId="23859423" w14:textId="76831AAD" w:rsidR="00347979" w:rsidRDefault="00FB2B7D" w:rsidP="00347979">
            <w:pPr>
              <w:overflowPunct/>
              <w:autoSpaceDE/>
              <w:autoSpaceDN/>
              <w:adjustRightInd/>
              <w:spacing w:after="160" w:line="259" w:lineRule="auto"/>
              <w:textAlignment w:val="auto"/>
            </w:pPr>
            <w:r>
              <w:t>Summary Product Characteristics</w:t>
            </w:r>
          </w:p>
        </w:tc>
      </w:tr>
      <w:tr w:rsidR="00347979" w14:paraId="6E803FF9" w14:textId="77777777" w:rsidTr="00F153A1">
        <w:tc>
          <w:tcPr>
            <w:tcW w:w="4508" w:type="dxa"/>
          </w:tcPr>
          <w:p w14:paraId="0B2E2A82" w14:textId="3043AFC6" w:rsidR="00347979" w:rsidRDefault="00534535" w:rsidP="00347979">
            <w:pPr>
              <w:overflowPunct/>
              <w:autoSpaceDE/>
              <w:autoSpaceDN/>
              <w:adjustRightInd/>
              <w:spacing w:after="160" w:line="259" w:lineRule="auto"/>
              <w:textAlignment w:val="auto"/>
            </w:pPr>
            <w:r>
              <w:t>ULN</w:t>
            </w:r>
          </w:p>
        </w:tc>
        <w:tc>
          <w:tcPr>
            <w:tcW w:w="4508" w:type="dxa"/>
          </w:tcPr>
          <w:p w14:paraId="05216DDC" w14:textId="1D4C23DB" w:rsidR="00347979" w:rsidRDefault="00534535" w:rsidP="00347979">
            <w:pPr>
              <w:overflowPunct/>
              <w:autoSpaceDE/>
              <w:autoSpaceDN/>
              <w:adjustRightInd/>
              <w:spacing w:after="160" w:line="259" w:lineRule="auto"/>
              <w:textAlignment w:val="auto"/>
            </w:pPr>
            <w:r>
              <w:t>Upper Limit of Normal</w:t>
            </w:r>
          </w:p>
        </w:tc>
      </w:tr>
    </w:tbl>
    <w:p w14:paraId="5C5BE859" w14:textId="0F6B5DA9" w:rsidR="002B2FEE" w:rsidRDefault="002B2FEE">
      <w:pPr>
        <w:overflowPunct/>
        <w:autoSpaceDE/>
        <w:autoSpaceDN/>
        <w:adjustRightInd/>
        <w:spacing w:after="160" w:line="259" w:lineRule="auto"/>
        <w:textAlignment w:val="auto"/>
      </w:pPr>
    </w:p>
    <w:p w14:paraId="6D66CC2C" w14:textId="77777777" w:rsidR="00883346" w:rsidRDefault="00883346">
      <w:pPr>
        <w:overflowPunct/>
        <w:autoSpaceDE/>
        <w:autoSpaceDN/>
        <w:adjustRightInd/>
        <w:spacing w:after="160" w:line="259" w:lineRule="auto"/>
        <w:textAlignment w:val="auto"/>
        <w:rPr>
          <w:rFonts w:eastAsia="Arial Unicode MS"/>
        </w:rPr>
      </w:pPr>
      <w:r>
        <w:rPr>
          <w:rFonts w:eastAsia="Arial Unicode MS"/>
        </w:rPr>
        <w:br w:type="page"/>
      </w:r>
    </w:p>
    <w:p w14:paraId="1BB3AC3F" w14:textId="1AE2D62C" w:rsidR="00883346" w:rsidRDefault="001113B5" w:rsidP="00883346">
      <w:pPr>
        <w:pStyle w:val="Heading1"/>
      </w:pPr>
      <w:bookmarkStart w:id="3" w:name="_Toc531873917"/>
      <w:r w:rsidRPr="0035100B">
        <w:lastRenderedPageBreak/>
        <w:t>Corticosteroids</w:t>
      </w:r>
      <w:bookmarkEnd w:id="3"/>
    </w:p>
    <w:p w14:paraId="56E3B4E4" w14:textId="77777777" w:rsidR="00883346" w:rsidRDefault="00883346" w:rsidP="00883346">
      <w:pPr>
        <w:rPr>
          <w:b/>
          <w:sz w:val="32"/>
          <w:szCs w:val="32"/>
        </w:rPr>
      </w:pPr>
    </w:p>
    <w:p w14:paraId="789F7E05" w14:textId="29C9AC89" w:rsidR="00883346" w:rsidRPr="001113B5" w:rsidRDefault="00883346" w:rsidP="001113B5">
      <w:pPr>
        <w:spacing w:line="360" w:lineRule="auto"/>
        <w:rPr>
          <w:szCs w:val="24"/>
        </w:rPr>
      </w:pPr>
      <w:r w:rsidRPr="001113B5">
        <w:rPr>
          <w:szCs w:val="24"/>
        </w:rPr>
        <w:t xml:space="preserve">Corticosteroids are commonly used in the management of a number of rheumatological conditions. Despite their known benefits, prolonged treatment </w:t>
      </w:r>
      <w:r w:rsidR="00CA3B20">
        <w:rPr>
          <w:szCs w:val="24"/>
        </w:rPr>
        <w:t>can be</w:t>
      </w:r>
      <w:r w:rsidRPr="001113B5">
        <w:rPr>
          <w:szCs w:val="24"/>
        </w:rPr>
        <w:t xml:space="preserve"> associated with a number of detrimental side effects. EULAR guidance recommends that the adverse effects of glucocorticoid therapy should be considered and discussed with the patient before glucocorticoid therapy is started (Duru et al. 2013). Risk factors for adverse events include hypertension, diabetes, peptic ulcer, recent fracture, presence of cataract or glaucoma, presence of chronic infections, dyslipidaemia and co-medication with NSAIDs. For prolonged treatment, the dosage should be kept to a minimum and dose tapering attempted in case</w:t>
      </w:r>
      <w:r w:rsidR="00CA3B20">
        <w:rPr>
          <w:szCs w:val="24"/>
        </w:rPr>
        <w:t>s</w:t>
      </w:r>
      <w:r w:rsidRPr="001113B5">
        <w:rPr>
          <w:szCs w:val="24"/>
        </w:rPr>
        <w:t xml:space="preserve"> of remission or low disease activity. Continued prescribing should be reviewed at regular intervals. The patient should be advised to take the tablets in the morning with </w:t>
      </w:r>
      <w:r w:rsidR="00CA3B20">
        <w:rPr>
          <w:szCs w:val="24"/>
        </w:rPr>
        <w:t xml:space="preserve">or after </w:t>
      </w:r>
      <w:r w:rsidRPr="001113B5">
        <w:rPr>
          <w:szCs w:val="24"/>
        </w:rPr>
        <w:t>food. Alternate day dosing may be deemed appropriate in certain circumstances to try and reduce side effects.</w:t>
      </w:r>
    </w:p>
    <w:p w14:paraId="19B274F0" w14:textId="77777777" w:rsidR="00883346" w:rsidRPr="001113B5" w:rsidRDefault="00883346" w:rsidP="001113B5">
      <w:pPr>
        <w:spacing w:line="360" w:lineRule="auto"/>
        <w:rPr>
          <w:szCs w:val="24"/>
        </w:rPr>
      </w:pPr>
    </w:p>
    <w:p w14:paraId="6E3CDD0C" w14:textId="155F01BB" w:rsidR="00883346" w:rsidRPr="001113B5" w:rsidRDefault="00883346" w:rsidP="001113B5">
      <w:pPr>
        <w:spacing w:line="360" w:lineRule="auto"/>
        <w:rPr>
          <w:szCs w:val="24"/>
        </w:rPr>
      </w:pPr>
      <w:r w:rsidRPr="001113B5">
        <w:rPr>
          <w:b/>
          <w:szCs w:val="24"/>
        </w:rPr>
        <w:t xml:space="preserve">Immunosuppression: </w:t>
      </w:r>
      <w:r w:rsidRPr="001113B5">
        <w:rPr>
          <w:szCs w:val="24"/>
        </w:rPr>
        <w:t xml:space="preserve">Prolonged courses of corticosteroids can increase the susceptibility to infection. Immune status with regards to chickenpox can be checked when indicated. Those patients who are not immune should avoid close contact with people who have chickenpox or shingles. If exposed the patient should be advised to contact their Doctor </w:t>
      </w:r>
      <w:r w:rsidR="00CA3B20">
        <w:rPr>
          <w:szCs w:val="24"/>
        </w:rPr>
        <w:t>promptly for advice</w:t>
      </w:r>
      <w:r w:rsidRPr="001113B5">
        <w:rPr>
          <w:szCs w:val="24"/>
        </w:rPr>
        <w:t>.</w:t>
      </w:r>
    </w:p>
    <w:p w14:paraId="2FF9089A" w14:textId="77777777" w:rsidR="00883346" w:rsidRPr="001113B5" w:rsidRDefault="00883346" w:rsidP="001113B5">
      <w:pPr>
        <w:spacing w:line="360" w:lineRule="auto"/>
        <w:rPr>
          <w:szCs w:val="24"/>
        </w:rPr>
      </w:pPr>
    </w:p>
    <w:p w14:paraId="7FCBBD81" w14:textId="16950A55" w:rsidR="00883346" w:rsidRPr="001113B5" w:rsidRDefault="00883346" w:rsidP="001113B5">
      <w:pPr>
        <w:spacing w:line="360" w:lineRule="auto"/>
        <w:rPr>
          <w:szCs w:val="24"/>
        </w:rPr>
      </w:pPr>
      <w:r w:rsidRPr="001113B5">
        <w:rPr>
          <w:b/>
          <w:szCs w:val="24"/>
        </w:rPr>
        <w:t>Adrenal suppression</w:t>
      </w:r>
      <w:r w:rsidRPr="001113B5">
        <w:rPr>
          <w:szCs w:val="24"/>
        </w:rPr>
        <w:t xml:space="preserve"> can occur if corticosteroids are given for longer than 3 weeks or the patient has received several repeat courses. Under these circumstances the dose of the corticosteroid should be gradually tapered. The speed and magnitude of reduction should be tailored according the patient’s disease status and additional co-morbidities. All patients receiving prolonged treatment with corticosteroids should be issued with a “BLUE STEROID CARD”, which can be obtained from both hospital and community pharmacies. The card should state the date treatment was commenced, the initial dosage, subsequent reductions and maintenance</w:t>
      </w:r>
      <w:r w:rsidR="00CA3B20">
        <w:rPr>
          <w:szCs w:val="24"/>
        </w:rPr>
        <w:t xml:space="preserve"> doses</w:t>
      </w:r>
      <w:r w:rsidRPr="001113B5">
        <w:rPr>
          <w:szCs w:val="24"/>
        </w:rPr>
        <w:t xml:space="preserve">. Patients should be advised to carry the card with them and present it to Healthcare professionals in the case of illness. Where surgery is indicated, and the patient has been receiving treatment with glucocorticoids for over 1 month, it may be necessary to increase the glucocorticoid dose. The need for routine monitoring should be considered according to the dose, duration of treatment and the presence of pre-existing risk factors such as obesity, diabetes and cardiovascular disease. EULAR recommends monitoring the </w:t>
      </w:r>
      <w:r w:rsidRPr="001113B5">
        <w:rPr>
          <w:szCs w:val="24"/>
        </w:rPr>
        <w:lastRenderedPageBreak/>
        <w:t>following where deemed appropriate: body weight, blood pressure, peripheral oedema, cardiac failure, serum lipids, blood and/or urine glucose and ocular pressure.</w:t>
      </w:r>
    </w:p>
    <w:p w14:paraId="4631FB98" w14:textId="77777777" w:rsidR="00883346" w:rsidRPr="001113B5" w:rsidRDefault="00883346" w:rsidP="001113B5">
      <w:pPr>
        <w:spacing w:line="360" w:lineRule="auto"/>
        <w:rPr>
          <w:b/>
          <w:szCs w:val="24"/>
        </w:rPr>
      </w:pPr>
    </w:p>
    <w:p w14:paraId="068DC845" w14:textId="003D0711" w:rsidR="00883346" w:rsidRPr="001113B5" w:rsidRDefault="00883346" w:rsidP="001113B5">
      <w:pPr>
        <w:spacing w:line="360" w:lineRule="auto"/>
        <w:rPr>
          <w:szCs w:val="24"/>
        </w:rPr>
      </w:pPr>
      <w:r w:rsidRPr="001113B5">
        <w:rPr>
          <w:b/>
          <w:szCs w:val="24"/>
        </w:rPr>
        <w:t>Live vaccination:</w:t>
      </w:r>
      <w:r w:rsidRPr="001113B5">
        <w:rPr>
          <w:szCs w:val="24"/>
        </w:rPr>
        <w:t xml:space="preserve"> DOH guidance (Green Book) suggests delaying live vaccination for at least three months in adult patients who have received at least 40mg of prednisolone per day for more than 1 week</w:t>
      </w:r>
      <w:r w:rsidR="000E5F1B">
        <w:rPr>
          <w:szCs w:val="24"/>
        </w:rPr>
        <w:t xml:space="preserve"> or &gt;20mg for &gt;2 weeks </w:t>
      </w:r>
      <w:r w:rsidRPr="001113B5">
        <w:rPr>
          <w:szCs w:val="24"/>
        </w:rPr>
        <w:t>. Individuals receiving prolonged oral corticosteroid treatment at lower doses may also be at risk. Please contact the Rheumatologist if live vaccination is being considered.</w:t>
      </w:r>
    </w:p>
    <w:p w14:paraId="0848AE93" w14:textId="77777777" w:rsidR="00883346" w:rsidRPr="001113B5" w:rsidRDefault="00883346" w:rsidP="001113B5">
      <w:pPr>
        <w:spacing w:line="360" w:lineRule="auto"/>
        <w:rPr>
          <w:b/>
          <w:szCs w:val="24"/>
        </w:rPr>
      </w:pPr>
    </w:p>
    <w:p w14:paraId="675DF705" w14:textId="6E4B4108" w:rsidR="00883346" w:rsidRDefault="00883346" w:rsidP="001113B5">
      <w:pPr>
        <w:spacing w:line="360" w:lineRule="auto"/>
        <w:rPr>
          <w:szCs w:val="24"/>
        </w:rPr>
      </w:pPr>
      <w:r w:rsidRPr="001113B5">
        <w:rPr>
          <w:b/>
          <w:szCs w:val="24"/>
        </w:rPr>
        <w:t>Osteoporosis</w:t>
      </w:r>
      <w:r w:rsidRPr="001113B5">
        <w:rPr>
          <w:szCs w:val="24"/>
        </w:rPr>
        <w:t xml:space="preserve">: Patients on doses of greater than 7.5mg of prednisolone per day, who are likely to need treatment for more than 3 months, should be </w:t>
      </w:r>
      <w:r w:rsidR="00CA3B20">
        <w:rPr>
          <w:szCs w:val="24"/>
        </w:rPr>
        <w:t>considered for bone protection therapy</w:t>
      </w:r>
      <w:r w:rsidRPr="001113B5">
        <w:rPr>
          <w:szCs w:val="24"/>
        </w:rPr>
        <w:t xml:space="preserve">. Patients at high risk (previous risk fracture, &gt;65 etc) should start an oral bisphosphonate at the time of commencing steroid therapy. The need for continuing bisphosphonate therapy, and possibly newer treatment options, should preferably be evaluated by a DEXA scan and according to individual patient risk factors.  Physicians should refer to the appropriate clinical guideline (Osteoporosis - Clinical Guideline for Prevention and Treatment, Executive Summary </w:t>
      </w:r>
      <w:r w:rsidR="001113B5">
        <w:rPr>
          <w:szCs w:val="24"/>
        </w:rPr>
        <w:t>June</w:t>
      </w:r>
      <w:r w:rsidR="001113B5" w:rsidRPr="001113B5">
        <w:rPr>
          <w:szCs w:val="24"/>
        </w:rPr>
        <w:t xml:space="preserve"> </w:t>
      </w:r>
      <w:r w:rsidRPr="001113B5">
        <w:rPr>
          <w:szCs w:val="24"/>
        </w:rPr>
        <w:t>201</w:t>
      </w:r>
      <w:r w:rsidR="001113B5">
        <w:rPr>
          <w:szCs w:val="24"/>
        </w:rPr>
        <w:t>7</w:t>
      </w:r>
      <w:r w:rsidRPr="001113B5">
        <w:rPr>
          <w:szCs w:val="24"/>
        </w:rPr>
        <w:t>, National Osteoporosis Guideline Group).</w:t>
      </w:r>
    </w:p>
    <w:p w14:paraId="13A05C04" w14:textId="4DEBEFBB" w:rsidR="00CA3B20" w:rsidRPr="001113B5" w:rsidRDefault="00CA3B20" w:rsidP="001113B5">
      <w:pPr>
        <w:spacing w:line="360" w:lineRule="auto"/>
        <w:rPr>
          <w:szCs w:val="24"/>
        </w:rPr>
      </w:pPr>
      <w:r>
        <w:rPr>
          <w:szCs w:val="24"/>
        </w:rPr>
        <w:t>Where patients do not have adequate calcium intake in their diet, supplements should be considered (usually from over the counter). Similarly, where appropriate, over the counter vitamin D</w:t>
      </w:r>
      <w:r w:rsidR="00AB40A8">
        <w:rPr>
          <w:szCs w:val="24"/>
        </w:rPr>
        <w:t xml:space="preserve"> (1000 units daily)</w:t>
      </w:r>
      <w:r>
        <w:rPr>
          <w:szCs w:val="24"/>
        </w:rPr>
        <w:t xml:space="preserve"> should be recommended for patients to obtain from pharmacies or supermarkets.</w:t>
      </w:r>
    </w:p>
    <w:p w14:paraId="1ADA6ECF" w14:textId="77777777" w:rsidR="00883346" w:rsidRPr="001113B5" w:rsidRDefault="00883346" w:rsidP="001113B5">
      <w:pPr>
        <w:spacing w:line="360" w:lineRule="auto"/>
        <w:rPr>
          <w:szCs w:val="24"/>
        </w:rPr>
      </w:pPr>
      <w:r w:rsidRPr="001113B5">
        <w:rPr>
          <w:szCs w:val="24"/>
        </w:rPr>
        <w:t xml:space="preserve"> </w:t>
      </w:r>
    </w:p>
    <w:p w14:paraId="48D9B591" w14:textId="592DD799" w:rsidR="00883346" w:rsidRPr="001113B5" w:rsidRDefault="00883346" w:rsidP="001113B5">
      <w:pPr>
        <w:spacing w:line="360" w:lineRule="auto"/>
        <w:rPr>
          <w:szCs w:val="24"/>
        </w:rPr>
      </w:pPr>
      <w:r w:rsidRPr="001113B5">
        <w:rPr>
          <w:b/>
          <w:szCs w:val="24"/>
        </w:rPr>
        <w:t xml:space="preserve">Pregnancy: </w:t>
      </w:r>
      <w:r w:rsidRPr="001113B5">
        <w:rPr>
          <w:szCs w:val="24"/>
        </w:rPr>
        <w:t xml:space="preserve">Low dose glucocorticoids may be continued during pregnancy. Please contact the Rheumatologist if a female patient is receiving oral corticosteroids and is planning to conceive. </w:t>
      </w:r>
    </w:p>
    <w:p w14:paraId="4EB500D7" w14:textId="77777777" w:rsidR="00883346" w:rsidRPr="001113B5" w:rsidRDefault="00883346" w:rsidP="001113B5">
      <w:pPr>
        <w:overflowPunct/>
        <w:autoSpaceDE/>
        <w:autoSpaceDN/>
        <w:adjustRightInd/>
        <w:spacing w:after="160" w:line="360" w:lineRule="auto"/>
        <w:textAlignment w:val="auto"/>
        <w:rPr>
          <w:szCs w:val="24"/>
        </w:rPr>
      </w:pPr>
      <w:r w:rsidRPr="001113B5">
        <w:rPr>
          <w:szCs w:val="24"/>
        </w:rPr>
        <w:br w:type="page"/>
      </w:r>
    </w:p>
    <w:p w14:paraId="785B147C" w14:textId="6795324A" w:rsidR="00883346" w:rsidRPr="006E6B7B" w:rsidRDefault="00883346" w:rsidP="005412C6">
      <w:pPr>
        <w:pStyle w:val="Heading1"/>
        <w:rPr>
          <w:sz w:val="22"/>
          <w:szCs w:val="22"/>
        </w:rPr>
      </w:pPr>
      <w:bookmarkStart w:id="4" w:name="_Toc531873918"/>
      <w:r>
        <w:lastRenderedPageBreak/>
        <w:t xml:space="preserve">Synthetic or </w:t>
      </w:r>
      <w:r w:rsidR="00D67096">
        <w:t>c</w:t>
      </w:r>
      <w:r>
        <w:t>sDMARDs</w:t>
      </w:r>
      <w:bookmarkEnd w:id="4"/>
    </w:p>
    <w:p w14:paraId="1CFAC979" w14:textId="49D28A99" w:rsidR="00883346" w:rsidRPr="006E6B7B" w:rsidRDefault="001113B5" w:rsidP="008A4BD0">
      <w:pPr>
        <w:pStyle w:val="Heading2"/>
        <w:rPr>
          <w:b w:val="0"/>
          <w:sz w:val="22"/>
          <w:szCs w:val="22"/>
        </w:rPr>
      </w:pPr>
      <w:bookmarkStart w:id="5" w:name="_Toc531873919"/>
      <w:r w:rsidRPr="00883346">
        <w:t>Azathioprine</w:t>
      </w:r>
      <w:bookmarkEnd w:id="5"/>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883346" w:rsidRPr="006140D1" w14:paraId="323BAFF2" w14:textId="77777777" w:rsidTr="008A4BD0">
        <w:tc>
          <w:tcPr>
            <w:tcW w:w="3240" w:type="dxa"/>
            <w:shd w:val="clear" w:color="auto" w:fill="CCFFFF"/>
          </w:tcPr>
          <w:p w14:paraId="736972AA" w14:textId="77777777" w:rsidR="00883346" w:rsidRDefault="00883346" w:rsidP="00883346">
            <w:r>
              <w:t>Dose:</w:t>
            </w:r>
          </w:p>
        </w:tc>
        <w:tc>
          <w:tcPr>
            <w:tcW w:w="7200" w:type="dxa"/>
            <w:shd w:val="clear" w:color="auto" w:fill="auto"/>
          </w:tcPr>
          <w:p w14:paraId="2F60DE44" w14:textId="77777777" w:rsidR="00883346" w:rsidRPr="006140D1" w:rsidRDefault="00883346" w:rsidP="00883346">
            <w:pPr>
              <w:rPr>
                <w:sz w:val="22"/>
                <w:szCs w:val="22"/>
              </w:rPr>
            </w:pPr>
            <w:r w:rsidRPr="006140D1">
              <w:rPr>
                <w:sz w:val="22"/>
                <w:szCs w:val="22"/>
              </w:rPr>
              <w:t>Treatment is usually started at one 50mg tablet daily with or after breakfast for the first week. Subsequently, if no problems occur</w:t>
            </w:r>
            <w:r>
              <w:rPr>
                <w:sz w:val="22"/>
                <w:szCs w:val="22"/>
              </w:rPr>
              <w:t>,</w:t>
            </w:r>
            <w:r w:rsidRPr="006140D1">
              <w:rPr>
                <w:sz w:val="22"/>
                <w:szCs w:val="22"/>
              </w:rPr>
              <w:t xml:space="preserve"> the dose is usually increased weekly to 100mg daily and then 150mg daily</w:t>
            </w:r>
            <w:r>
              <w:rPr>
                <w:sz w:val="22"/>
                <w:szCs w:val="22"/>
              </w:rPr>
              <w:t>,</w:t>
            </w:r>
            <w:r w:rsidRPr="006140D1">
              <w:rPr>
                <w:sz w:val="22"/>
                <w:szCs w:val="22"/>
              </w:rPr>
              <w:t xml:space="preserve"> taken at the same time or in divided doses with meals. The dose </w:t>
            </w:r>
            <w:r>
              <w:rPr>
                <w:sz w:val="22"/>
                <w:szCs w:val="22"/>
              </w:rPr>
              <w:t>is usually increased up to 2.5mg/kg per day and occasionally more</w:t>
            </w:r>
            <w:r w:rsidRPr="006140D1">
              <w:rPr>
                <w:sz w:val="22"/>
                <w:szCs w:val="22"/>
              </w:rPr>
              <w:t xml:space="preserve"> if needed. </w:t>
            </w:r>
          </w:p>
        </w:tc>
      </w:tr>
      <w:tr w:rsidR="00883346" w:rsidRPr="006140D1" w14:paraId="36A93496" w14:textId="77777777" w:rsidTr="008A4BD0">
        <w:trPr>
          <w:trHeight w:val="450"/>
        </w:trPr>
        <w:tc>
          <w:tcPr>
            <w:tcW w:w="3240" w:type="dxa"/>
            <w:shd w:val="clear" w:color="auto" w:fill="CCFFFF"/>
          </w:tcPr>
          <w:p w14:paraId="36D99734" w14:textId="77777777" w:rsidR="00883346" w:rsidRDefault="00883346" w:rsidP="00883346">
            <w:r>
              <w:t>Baseline Tests:</w:t>
            </w:r>
          </w:p>
        </w:tc>
        <w:tc>
          <w:tcPr>
            <w:tcW w:w="7200" w:type="dxa"/>
            <w:shd w:val="clear" w:color="auto" w:fill="auto"/>
          </w:tcPr>
          <w:p w14:paraId="548A79E2" w14:textId="77777777" w:rsidR="00883346" w:rsidRDefault="00883346" w:rsidP="00883346">
            <w:pPr>
              <w:rPr>
                <w:sz w:val="22"/>
                <w:szCs w:val="22"/>
              </w:rPr>
            </w:pPr>
            <w:r w:rsidRPr="006140D1">
              <w:rPr>
                <w:sz w:val="22"/>
                <w:szCs w:val="22"/>
              </w:rPr>
              <w:t>FBC/U&amp;E/LFT</w:t>
            </w:r>
            <w:r>
              <w:rPr>
                <w:sz w:val="22"/>
                <w:szCs w:val="22"/>
              </w:rPr>
              <w:t xml:space="preserve"> </w:t>
            </w:r>
          </w:p>
          <w:p w14:paraId="5F72C4B1" w14:textId="10A86D01" w:rsidR="00883346" w:rsidRPr="006140D1" w:rsidRDefault="00CA3B20" w:rsidP="00883346">
            <w:pPr>
              <w:rPr>
                <w:sz w:val="22"/>
                <w:szCs w:val="22"/>
              </w:rPr>
            </w:pPr>
            <w:r>
              <w:rPr>
                <w:sz w:val="22"/>
                <w:szCs w:val="22"/>
              </w:rPr>
              <w:t>Suggested</w:t>
            </w:r>
            <w:r w:rsidR="00883346">
              <w:rPr>
                <w:sz w:val="22"/>
                <w:szCs w:val="22"/>
              </w:rPr>
              <w:t xml:space="preserve"> TPMT</w:t>
            </w:r>
          </w:p>
          <w:p w14:paraId="50F0A23A" w14:textId="77777777" w:rsidR="00883346" w:rsidRDefault="00883346" w:rsidP="00883346">
            <w:pPr>
              <w:overflowPunct/>
              <w:autoSpaceDE/>
              <w:autoSpaceDN/>
              <w:adjustRightInd/>
              <w:textAlignment w:val="auto"/>
              <w:rPr>
                <w:sz w:val="22"/>
                <w:szCs w:val="22"/>
              </w:rPr>
            </w:pPr>
            <w:r w:rsidRPr="006140D1">
              <w:rPr>
                <w:sz w:val="22"/>
                <w:szCs w:val="22"/>
              </w:rPr>
              <w:t>Consider Hep</w:t>
            </w:r>
            <w:r>
              <w:rPr>
                <w:sz w:val="22"/>
                <w:szCs w:val="22"/>
              </w:rPr>
              <w:t>atitis</w:t>
            </w:r>
            <w:r w:rsidRPr="006140D1">
              <w:rPr>
                <w:sz w:val="22"/>
                <w:szCs w:val="22"/>
              </w:rPr>
              <w:t xml:space="preserve"> B and C</w:t>
            </w:r>
            <w:r>
              <w:rPr>
                <w:sz w:val="22"/>
                <w:szCs w:val="22"/>
              </w:rPr>
              <w:t xml:space="preserve"> </w:t>
            </w:r>
          </w:p>
          <w:p w14:paraId="3A8C6270" w14:textId="29C8D534" w:rsidR="00883346" w:rsidRPr="006140D1" w:rsidRDefault="00883346" w:rsidP="00883346">
            <w:pPr>
              <w:overflowPunct/>
              <w:autoSpaceDE/>
              <w:autoSpaceDN/>
              <w:adjustRightInd/>
              <w:textAlignment w:val="auto"/>
              <w:rPr>
                <w:rFonts w:cs="Arial"/>
                <w:sz w:val="22"/>
                <w:szCs w:val="22"/>
              </w:rPr>
            </w:pPr>
            <w:r>
              <w:rPr>
                <w:sz w:val="22"/>
                <w:szCs w:val="22"/>
              </w:rPr>
              <w:t>Consider Pregnancy test</w:t>
            </w:r>
            <w:r w:rsidR="00AB40A8">
              <w:rPr>
                <w:sz w:val="22"/>
                <w:szCs w:val="22"/>
              </w:rPr>
              <w:t xml:space="preserve"> (though deemed safe in pregnancy)</w:t>
            </w:r>
          </w:p>
        </w:tc>
      </w:tr>
      <w:tr w:rsidR="00883346" w:rsidRPr="006140D1" w14:paraId="1315F0EE" w14:textId="77777777" w:rsidTr="008A4BD0">
        <w:trPr>
          <w:trHeight w:val="450"/>
        </w:trPr>
        <w:tc>
          <w:tcPr>
            <w:tcW w:w="3240" w:type="dxa"/>
            <w:shd w:val="clear" w:color="auto" w:fill="CCFFFF"/>
          </w:tcPr>
          <w:p w14:paraId="1453266D" w14:textId="77777777" w:rsidR="00883346" w:rsidRDefault="00883346" w:rsidP="00883346">
            <w:r>
              <w:t>Routine Monitoring:</w:t>
            </w:r>
          </w:p>
        </w:tc>
        <w:tc>
          <w:tcPr>
            <w:tcW w:w="7200" w:type="dxa"/>
            <w:shd w:val="clear" w:color="auto" w:fill="auto"/>
          </w:tcPr>
          <w:p w14:paraId="3F470A9A" w14:textId="306D7E18" w:rsidR="002E41FF" w:rsidRDefault="002E41FF" w:rsidP="002E41FF">
            <w:pPr>
              <w:rPr>
                <w:sz w:val="22"/>
                <w:szCs w:val="22"/>
              </w:rPr>
            </w:pPr>
            <w:r w:rsidRPr="001A7746">
              <w:rPr>
                <w:sz w:val="22"/>
                <w:szCs w:val="22"/>
              </w:rPr>
              <w:t xml:space="preserve">FBC, </w:t>
            </w:r>
            <w:r>
              <w:rPr>
                <w:sz w:val="22"/>
                <w:szCs w:val="22"/>
              </w:rPr>
              <w:t>U&amp;Es</w:t>
            </w:r>
            <w:r w:rsidRPr="001A7746">
              <w:rPr>
                <w:sz w:val="22"/>
                <w:szCs w:val="22"/>
              </w:rPr>
              <w:t xml:space="preserve">, </w:t>
            </w:r>
            <w:r>
              <w:rPr>
                <w:sz w:val="22"/>
                <w:szCs w:val="22"/>
              </w:rPr>
              <w:t>LFTs</w:t>
            </w:r>
            <w:r w:rsidRPr="001A7746">
              <w:rPr>
                <w:sz w:val="22"/>
                <w:szCs w:val="22"/>
              </w:rPr>
              <w:t xml:space="preserve"> every 2 weeks until on stable dose for 6 weeks </w:t>
            </w:r>
          </w:p>
          <w:p w14:paraId="21168F9A" w14:textId="6862FB2B" w:rsidR="002E41FF" w:rsidRDefault="002E41FF" w:rsidP="002E41FF">
            <w:pPr>
              <w:rPr>
                <w:sz w:val="22"/>
                <w:szCs w:val="22"/>
              </w:rPr>
            </w:pPr>
            <w:r>
              <w:rPr>
                <w:sz w:val="22"/>
                <w:szCs w:val="22"/>
              </w:rPr>
              <w:t>O</w:t>
            </w:r>
            <w:r w:rsidRPr="001A7746">
              <w:rPr>
                <w:sz w:val="22"/>
                <w:szCs w:val="22"/>
              </w:rPr>
              <w:t xml:space="preserve">nce on stable dose, monthly </w:t>
            </w:r>
            <w:r>
              <w:rPr>
                <w:sz w:val="22"/>
                <w:szCs w:val="22"/>
              </w:rPr>
              <w:t>for 3 months</w:t>
            </w:r>
          </w:p>
          <w:p w14:paraId="070D6692" w14:textId="033ECA17" w:rsidR="002E41FF" w:rsidRDefault="002E41FF" w:rsidP="002E41FF">
            <w:pPr>
              <w:rPr>
                <w:sz w:val="22"/>
                <w:szCs w:val="22"/>
              </w:rPr>
            </w:pPr>
            <w:r>
              <w:rPr>
                <w:sz w:val="22"/>
                <w:szCs w:val="22"/>
              </w:rPr>
              <w:t>T</w:t>
            </w:r>
            <w:r w:rsidRPr="001A7746">
              <w:rPr>
                <w:sz w:val="22"/>
                <w:szCs w:val="22"/>
              </w:rPr>
              <w:t xml:space="preserve">hereafter, at least every 12 weeks. </w:t>
            </w:r>
          </w:p>
          <w:p w14:paraId="18921C13" w14:textId="77777777" w:rsidR="00883346" w:rsidRPr="00CA3B20" w:rsidRDefault="002E41FF" w:rsidP="002E41FF">
            <w:pPr>
              <w:rPr>
                <w:sz w:val="18"/>
                <w:szCs w:val="18"/>
              </w:rPr>
            </w:pPr>
            <w:r w:rsidRPr="001A7746">
              <w:rPr>
                <w:sz w:val="22"/>
                <w:szCs w:val="22"/>
              </w:rPr>
              <w:t>More frequent monitoring is appropriate in patients at higher risk of toxicity</w:t>
            </w:r>
            <w:r>
              <w:rPr>
                <w:sz w:val="22"/>
                <w:szCs w:val="22"/>
              </w:rPr>
              <w:t>, or when clinically indicated</w:t>
            </w:r>
            <w:r w:rsidRPr="00FD1A92">
              <w:rPr>
                <w:sz w:val="18"/>
                <w:szCs w:val="18"/>
              </w:rPr>
              <w:t xml:space="preserve"> </w:t>
            </w:r>
            <w:r w:rsidR="00883346" w:rsidRPr="00FD1A92">
              <w:rPr>
                <w:sz w:val="18"/>
                <w:szCs w:val="18"/>
              </w:rPr>
              <w:t xml:space="preserve">(*Consider more frequently if high dosage or if renal or </w:t>
            </w:r>
            <w:r w:rsidR="00883346" w:rsidRPr="00CA3B20">
              <w:rPr>
                <w:sz w:val="18"/>
                <w:szCs w:val="18"/>
              </w:rPr>
              <w:t>hepatic impairment)</w:t>
            </w:r>
          </w:p>
          <w:p w14:paraId="30E66DFB" w14:textId="66171530" w:rsidR="00CA3B20" w:rsidRPr="00CA3B20" w:rsidRDefault="00CA3B20" w:rsidP="002E41FF">
            <w:pPr>
              <w:rPr>
                <w:sz w:val="22"/>
                <w:szCs w:val="22"/>
              </w:rPr>
            </w:pPr>
            <w:r w:rsidRPr="00CA3B20">
              <w:rPr>
                <w:rFonts w:eastAsia="Merriweather"/>
                <w:sz w:val="22"/>
                <w:szCs w:val="22"/>
              </w:rPr>
              <w:t xml:space="preserve">Dose increases should be monitored by FBC, </w:t>
            </w:r>
            <w:r>
              <w:rPr>
                <w:rFonts w:eastAsia="Merriweather"/>
                <w:sz w:val="22"/>
                <w:szCs w:val="22"/>
              </w:rPr>
              <w:t>U&amp;Es</w:t>
            </w:r>
            <w:r w:rsidRPr="00CA3B20">
              <w:rPr>
                <w:rFonts w:eastAsia="Merriweather"/>
                <w:sz w:val="22"/>
                <w:szCs w:val="22"/>
              </w:rPr>
              <w:t xml:space="preserve"> every 2 weeks until on stable dose for 6 weeks then revert to previous schedule</w:t>
            </w:r>
          </w:p>
        </w:tc>
      </w:tr>
      <w:tr w:rsidR="00883346" w:rsidRPr="006140D1" w14:paraId="493EE675" w14:textId="77777777" w:rsidTr="008A4BD0">
        <w:trPr>
          <w:trHeight w:val="450"/>
        </w:trPr>
        <w:tc>
          <w:tcPr>
            <w:tcW w:w="3240" w:type="dxa"/>
            <w:shd w:val="clear" w:color="auto" w:fill="CCFFFF"/>
          </w:tcPr>
          <w:p w14:paraId="4BC89D85" w14:textId="77777777" w:rsidR="00883346" w:rsidRDefault="00883346" w:rsidP="00883346">
            <w:r>
              <w:t>Indications for stopping:</w:t>
            </w:r>
          </w:p>
        </w:tc>
        <w:tc>
          <w:tcPr>
            <w:tcW w:w="7200" w:type="dxa"/>
            <w:shd w:val="clear" w:color="auto" w:fill="auto"/>
          </w:tcPr>
          <w:p w14:paraId="6A4FE6F5" w14:textId="77777777" w:rsidR="00883346" w:rsidRPr="00396947" w:rsidRDefault="00883346" w:rsidP="00883346">
            <w:pPr>
              <w:rPr>
                <w:sz w:val="22"/>
                <w:szCs w:val="22"/>
              </w:rPr>
            </w:pPr>
            <w:r w:rsidRPr="00396947">
              <w:rPr>
                <w:sz w:val="22"/>
                <w:szCs w:val="22"/>
              </w:rPr>
              <w:t xml:space="preserve">Stop medication and contact </w:t>
            </w:r>
            <w:r>
              <w:rPr>
                <w:sz w:val="22"/>
                <w:szCs w:val="22"/>
              </w:rPr>
              <w:t xml:space="preserve">the </w:t>
            </w:r>
            <w:r w:rsidRPr="00396947">
              <w:rPr>
                <w:sz w:val="22"/>
                <w:szCs w:val="22"/>
              </w:rPr>
              <w:t>Rheumatology service if:</w:t>
            </w:r>
          </w:p>
          <w:p w14:paraId="165C3792" w14:textId="77777777" w:rsidR="00883346" w:rsidRPr="00702255" w:rsidRDefault="00883346" w:rsidP="00883346">
            <w:pPr>
              <w:rPr>
                <w:sz w:val="22"/>
                <w:szCs w:val="22"/>
              </w:rPr>
            </w:pPr>
            <w:r w:rsidRPr="00396947">
              <w:rPr>
                <w:sz w:val="22"/>
                <w:szCs w:val="22"/>
              </w:rPr>
              <w:t>WCC           &lt;3.5</w:t>
            </w:r>
            <w:r>
              <w:rPr>
                <w:sz w:val="22"/>
                <w:szCs w:val="22"/>
              </w:rPr>
              <w:t xml:space="preserve"> 10</w:t>
            </w:r>
            <w:r>
              <w:rPr>
                <w:sz w:val="22"/>
                <w:szCs w:val="22"/>
                <w:vertAlign w:val="superscript"/>
              </w:rPr>
              <w:t>9/</w:t>
            </w:r>
            <w:r>
              <w:rPr>
                <w:sz w:val="22"/>
                <w:szCs w:val="22"/>
              </w:rPr>
              <w:t>L or below local normal range</w:t>
            </w:r>
          </w:p>
          <w:p w14:paraId="6ACCAB76" w14:textId="77777777" w:rsidR="00883346" w:rsidRPr="00702255" w:rsidRDefault="00883346" w:rsidP="00883346">
            <w:pPr>
              <w:rPr>
                <w:sz w:val="22"/>
                <w:szCs w:val="22"/>
              </w:rPr>
            </w:pPr>
            <w:r w:rsidRPr="00396947">
              <w:rPr>
                <w:sz w:val="22"/>
                <w:szCs w:val="22"/>
              </w:rPr>
              <w:t>Neutrophils &lt; 2.0</w:t>
            </w:r>
            <w:r>
              <w:rPr>
                <w:sz w:val="22"/>
                <w:szCs w:val="22"/>
              </w:rPr>
              <w:t xml:space="preserve"> 10</w:t>
            </w:r>
            <w:r>
              <w:rPr>
                <w:sz w:val="22"/>
                <w:szCs w:val="22"/>
                <w:vertAlign w:val="superscript"/>
              </w:rPr>
              <w:t>9/</w:t>
            </w:r>
            <w:r>
              <w:rPr>
                <w:sz w:val="22"/>
                <w:szCs w:val="22"/>
              </w:rPr>
              <w:t>L</w:t>
            </w:r>
            <w:r>
              <w:t xml:space="preserve"> </w:t>
            </w:r>
            <w:r w:rsidRPr="002112AC">
              <w:rPr>
                <w:sz w:val="22"/>
                <w:szCs w:val="22"/>
              </w:rPr>
              <w:t xml:space="preserve">or </w:t>
            </w:r>
            <w:r>
              <w:rPr>
                <w:sz w:val="22"/>
                <w:szCs w:val="22"/>
              </w:rPr>
              <w:t xml:space="preserve">below </w:t>
            </w:r>
            <w:r w:rsidRPr="002112AC">
              <w:rPr>
                <w:sz w:val="22"/>
                <w:szCs w:val="22"/>
              </w:rPr>
              <w:t>local normal range</w:t>
            </w:r>
          </w:p>
          <w:p w14:paraId="48DABC63" w14:textId="77777777" w:rsidR="00883346" w:rsidRPr="00396947" w:rsidRDefault="00883346" w:rsidP="00883346">
            <w:pPr>
              <w:rPr>
                <w:sz w:val="22"/>
                <w:szCs w:val="22"/>
              </w:rPr>
            </w:pPr>
            <w:r w:rsidRPr="00396947">
              <w:rPr>
                <w:sz w:val="22"/>
                <w:szCs w:val="22"/>
              </w:rPr>
              <w:t>Platelets      &lt;150</w:t>
            </w:r>
            <w:r>
              <w:rPr>
                <w:sz w:val="22"/>
                <w:szCs w:val="22"/>
              </w:rPr>
              <w:t xml:space="preserve"> 10</w:t>
            </w:r>
            <w:r>
              <w:rPr>
                <w:sz w:val="22"/>
                <w:szCs w:val="22"/>
                <w:vertAlign w:val="superscript"/>
              </w:rPr>
              <w:t>9/</w:t>
            </w:r>
            <w:r>
              <w:rPr>
                <w:sz w:val="22"/>
                <w:szCs w:val="22"/>
              </w:rPr>
              <w:t>L</w:t>
            </w:r>
            <w:r>
              <w:t xml:space="preserve"> </w:t>
            </w:r>
            <w:r w:rsidRPr="002112AC">
              <w:rPr>
                <w:sz w:val="22"/>
                <w:szCs w:val="22"/>
              </w:rPr>
              <w:t xml:space="preserve">or </w:t>
            </w:r>
            <w:r>
              <w:rPr>
                <w:sz w:val="22"/>
                <w:szCs w:val="22"/>
              </w:rPr>
              <w:t xml:space="preserve">below </w:t>
            </w:r>
            <w:r w:rsidRPr="002112AC">
              <w:rPr>
                <w:sz w:val="22"/>
                <w:szCs w:val="22"/>
              </w:rPr>
              <w:t>local normal range</w:t>
            </w:r>
          </w:p>
          <w:p w14:paraId="0A79F8CF" w14:textId="77777777" w:rsidR="00883346" w:rsidRPr="00396947" w:rsidRDefault="00883346" w:rsidP="00883346">
            <w:pPr>
              <w:rPr>
                <w:sz w:val="22"/>
                <w:szCs w:val="22"/>
              </w:rPr>
            </w:pPr>
            <w:r w:rsidRPr="00396947">
              <w:rPr>
                <w:sz w:val="22"/>
                <w:szCs w:val="22"/>
              </w:rPr>
              <w:t>AST or ALT &gt; 3 times normal range</w:t>
            </w:r>
            <w:r>
              <w:rPr>
                <w:sz w:val="22"/>
                <w:szCs w:val="22"/>
              </w:rPr>
              <w:t xml:space="preserve"> (iu/L)</w:t>
            </w:r>
          </w:p>
          <w:p w14:paraId="044AE4AF" w14:textId="77777777" w:rsidR="00883346" w:rsidRPr="00396947" w:rsidRDefault="00883346" w:rsidP="00883346">
            <w:pPr>
              <w:rPr>
                <w:sz w:val="22"/>
                <w:szCs w:val="22"/>
              </w:rPr>
            </w:pPr>
            <w:r w:rsidRPr="00396947">
              <w:rPr>
                <w:sz w:val="22"/>
                <w:szCs w:val="22"/>
              </w:rPr>
              <w:t>Mouth or throat ulceration</w:t>
            </w:r>
          </w:p>
          <w:p w14:paraId="4833CBFD" w14:textId="77777777" w:rsidR="00883346" w:rsidRPr="00396947" w:rsidRDefault="00883346" w:rsidP="00883346">
            <w:pPr>
              <w:rPr>
                <w:sz w:val="22"/>
                <w:szCs w:val="22"/>
              </w:rPr>
            </w:pPr>
            <w:r w:rsidRPr="00396947">
              <w:rPr>
                <w:sz w:val="22"/>
                <w:szCs w:val="22"/>
              </w:rPr>
              <w:t>Unexplained bruising or bleeding</w:t>
            </w:r>
          </w:p>
          <w:p w14:paraId="06258E84" w14:textId="16EE8C1C" w:rsidR="00883346" w:rsidRPr="00396947" w:rsidRDefault="00883346" w:rsidP="00883346">
            <w:pPr>
              <w:rPr>
                <w:sz w:val="22"/>
                <w:szCs w:val="22"/>
              </w:rPr>
            </w:pPr>
            <w:r w:rsidRPr="00396947">
              <w:rPr>
                <w:sz w:val="22"/>
                <w:szCs w:val="22"/>
              </w:rPr>
              <w:t>Fever/nausea/vomiting/diarrhoea</w:t>
            </w:r>
            <w:r w:rsidR="00AB40A8">
              <w:rPr>
                <w:sz w:val="22"/>
                <w:szCs w:val="22"/>
              </w:rPr>
              <w:t xml:space="preserve"> &amp; in presence of active infection</w:t>
            </w:r>
          </w:p>
          <w:p w14:paraId="69D91D1E" w14:textId="77777777" w:rsidR="00883346" w:rsidRPr="006140D1" w:rsidRDefault="00883346" w:rsidP="00883346">
            <w:pPr>
              <w:overflowPunct/>
              <w:autoSpaceDE/>
              <w:autoSpaceDN/>
              <w:adjustRightInd/>
              <w:textAlignment w:val="auto"/>
              <w:rPr>
                <w:rFonts w:cs="Arial"/>
                <w:sz w:val="22"/>
                <w:szCs w:val="22"/>
              </w:rPr>
            </w:pPr>
            <w:r w:rsidRPr="00396947">
              <w:rPr>
                <w:sz w:val="22"/>
                <w:szCs w:val="22"/>
              </w:rPr>
              <w:t>Diffuse alopecia</w:t>
            </w:r>
          </w:p>
        </w:tc>
      </w:tr>
      <w:tr w:rsidR="00883346" w:rsidRPr="006140D1" w14:paraId="1F520911" w14:textId="77777777" w:rsidTr="008A4BD0">
        <w:trPr>
          <w:trHeight w:val="450"/>
        </w:trPr>
        <w:tc>
          <w:tcPr>
            <w:tcW w:w="3240" w:type="dxa"/>
            <w:shd w:val="clear" w:color="auto" w:fill="CCFFFF"/>
          </w:tcPr>
          <w:p w14:paraId="0D1BF930" w14:textId="77777777" w:rsidR="00883346" w:rsidRDefault="00883346" w:rsidP="00883346">
            <w:r>
              <w:t>Assessment of Response:</w:t>
            </w:r>
          </w:p>
        </w:tc>
        <w:tc>
          <w:tcPr>
            <w:tcW w:w="7200" w:type="dxa"/>
            <w:shd w:val="clear" w:color="auto" w:fill="auto"/>
          </w:tcPr>
          <w:p w14:paraId="05336262" w14:textId="77777777" w:rsidR="00883346" w:rsidRPr="006140D1" w:rsidRDefault="00883346" w:rsidP="00883346">
            <w:pPr>
              <w:overflowPunct/>
              <w:autoSpaceDE/>
              <w:autoSpaceDN/>
              <w:adjustRightInd/>
              <w:textAlignment w:val="auto"/>
              <w:rPr>
                <w:rFonts w:cs="Arial"/>
                <w:sz w:val="22"/>
                <w:szCs w:val="22"/>
              </w:rPr>
            </w:pPr>
            <w:r w:rsidRPr="001A72B0">
              <w:rPr>
                <w:sz w:val="22"/>
                <w:szCs w:val="22"/>
              </w:rPr>
              <w:t>Refer to hospital specialist</w:t>
            </w:r>
            <w:r>
              <w:rPr>
                <w:sz w:val="22"/>
                <w:szCs w:val="22"/>
              </w:rPr>
              <w:t xml:space="preserve"> - time to response 6 weeks to 3 months</w:t>
            </w:r>
          </w:p>
        </w:tc>
      </w:tr>
      <w:tr w:rsidR="00883346" w14:paraId="33A69382" w14:textId="77777777" w:rsidTr="008A4BD0">
        <w:trPr>
          <w:trHeight w:val="450"/>
        </w:trPr>
        <w:tc>
          <w:tcPr>
            <w:tcW w:w="3240" w:type="dxa"/>
            <w:shd w:val="clear" w:color="auto" w:fill="CCFFFF"/>
          </w:tcPr>
          <w:p w14:paraId="2932A53F" w14:textId="77777777" w:rsidR="00883346" w:rsidRDefault="00883346" w:rsidP="00883346">
            <w:r>
              <w:t>Additional information:</w:t>
            </w:r>
          </w:p>
        </w:tc>
        <w:tc>
          <w:tcPr>
            <w:tcW w:w="7200" w:type="dxa"/>
            <w:shd w:val="clear" w:color="auto" w:fill="auto"/>
          </w:tcPr>
          <w:p w14:paraId="16FA3416" w14:textId="77777777" w:rsidR="00883346" w:rsidRDefault="00883346" w:rsidP="00883346">
            <w:pPr>
              <w:numPr>
                <w:ilvl w:val="0"/>
                <w:numId w:val="1"/>
              </w:numPr>
              <w:overflowPunct/>
              <w:autoSpaceDE/>
              <w:autoSpaceDN/>
              <w:adjustRightInd/>
              <w:textAlignment w:val="auto"/>
              <w:rPr>
                <w:rFonts w:cs="Arial"/>
                <w:sz w:val="22"/>
                <w:szCs w:val="22"/>
              </w:rPr>
            </w:pPr>
            <w:r w:rsidRPr="00463C1F">
              <w:rPr>
                <w:sz w:val="22"/>
                <w:szCs w:val="22"/>
              </w:rPr>
              <w:t>Patients deficient in thiopurine methyltransferase (TPMT) enzyme are at increased risk of haematological toxicity</w:t>
            </w:r>
            <w:r>
              <w:rPr>
                <w:sz w:val="22"/>
                <w:szCs w:val="22"/>
              </w:rPr>
              <w:t xml:space="preserve"> </w:t>
            </w:r>
          </w:p>
          <w:p w14:paraId="17ACED70" w14:textId="77777777" w:rsidR="00883346" w:rsidRDefault="00883346" w:rsidP="00883346">
            <w:pPr>
              <w:numPr>
                <w:ilvl w:val="0"/>
                <w:numId w:val="1"/>
              </w:numPr>
              <w:overflowPunct/>
              <w:autoSpaceDE/>
              <w:autoSpaceDN/>
              <w:adjustRightInd/>
              <w:textAlignment w:val="auto"/>
              <w:rPr>
                <w:sz w:val="22"/>
                <w:szCs w:val="22"/>
              </w:rPr>
            </w:pPr>
            <w:r>
              <w:rPr>
                <w:sz w:val="22"/>
                <w:szCs w:val="22"/>
              </w:rPr>
              <w:t>Renal or hepatic dysfunction – consider need for dose reduction to avoid haematological toxicity.</w:t>
            </w:r>
          </w:p>
          <w:p w14:paraId="699FC18C" w14:textId="77777777" w:rsidR="00883346" w:rsidRDefault="00883346" w:rsidP="00883346">
            <w:pPr>
              <w:numPr>
                <w:ilvl w:val="0"/>
                <w:numId w:val="1"/>
              </w:numPr>
              <w:overflowPunct/>
              <w:autoSpaceDE/>
              <w:autoSpaceDN/>
              <w:adjustRightInd/>
              <w:textAlignment w:val="auto"/>
              <w:rPr>
                <w:sz w:val="22"/>
                <w:szCs w:val="22"/>
              </w:rPr>
            </w:pPr>
            <w:r>
              <w:rPr>
                <w:sz w:val="22"/>
                <w:szCs w:val="22"/>
              </w:rPr>
              <w:t>Consider check</w:t>
            </w:r>
            <w:r w:rsidRPr="00463C1F">
              <w:rPr>
                <w:sz w:val="22"/>
                <w:szCs w:val="22"/>
              </w:rPr>
              <w:t xml:space="preserve"> Varicella Zoster Virus </w:t>
            </w:r>
            <w:r>
              <w:rPr>
                <w:sz w:val="22"/>
                <w:szCs w:val="22"/>
              </w:rPr>
              <w:t>status</w:t>
            </w:r>
          </w:p>
          <w:p w14:paraId="30D117EA" w14:textId="1EEA3180" w:rsidR="00883346" w:rsidRDefault="00883346" w:rsidP="00883346">
            <w:pPr>
              <w:numPr>
                <w:ilvl w:val="0"/>
                <w:numId w:val="1"/>
              </w:numPr>
              <w:overflowPunct/>
              <w:autoSpaceDE/>
              <w:autoSpaceDN/>
              <w:adjustRightInd/>
              <w:textAlignment w:val="auto"/>
              <w:rPr>
                <w:sz w:val="22"/>
                <w:szCs w:val="22"/>
              </w:rPr>
            </w:pPr>
            <w:r>
              <w:rPr>
                <w:sz w:val="22"/>
                <w:szCs w:val="22"/>
              </w:rPr>
              <w:t>Surveillance for skin cancer - monitoring of skin for any new lesions and/or changes. Provide advice on sunscreen and protective clothing.</w:t>
            </w:r>
            <w:r w:rsidR="00922873">
              <w:rPr>
                <w:sz w:val="22"/>
                <w:szCs w:val="22"/>
              </w:rPr>
              <w:t xml:space="preserve"> Those expected to remain on long term therapy (6-12 months) should be considered for dermatological screening annually.</w:t>
            </w:r>
          </w:p>
          <w:p w14:paraId="608F2FBE" w14:textId="77777777" w:rsidR="00883346" w:rsidRPr="00D63E55" w:rsidRDefault="00883346" w:rsidP="00883346">
            <w:pPr>
              <w:overflowPunct/>
              <w:autoSpaceDE/>
              <w:autoSpaceDN/>
              <w:adjustRightInd/>
              <w:textAlignment w:val="auto"/>
              <w:rPr>
                <w:sz w:val="22"/>
                <w:szCs w:val="22"/>
                <w:u w:val="single"/>
              </w:rPr>
            </w:pPr>
            <w:r w:rsidRPr="00D63E55">
              <w:rPr>
                <w:sz w:val="22"/>
                <w:szCs w:val="22"/>
                <w:u w:val="single"/>
              </w:rPr>
              <w:t>Important drug reactions:</w:t>
            </w:r>
          </w:p>
          <w:p w14:paraId="70276DA7" w14:textId="77777777" w:rsidR="00883346" w:rsidRDefault="00883346" w:rsidP="00883346">
            <w:pPr>
              <w:overflowPunct/>
              <w:autoSpaceDE/>
              <w:autoSpaceDN/>
              <w:adjustRightInd/>
              <w:textAlignment w:val="auto"/>
            </w:pPr>
            <w:r w:rsidRPr="006140D1">
              <w:rPr>
                <w:rFonts w:cs="Arial"/>
                <w:sz w:val="22"/>
                <w:szCs w:val="22"/>
              </w:rPr>
              <w:t>●</w:t>
            </w:r>
            <w:r w:rsidRPr="00AB105A">
              <w:rPr>
                <w:sz w:val="22"/>
                <w:szCs w:val="22"/>
              </w:rPr>
              <w:t>Allopurinol, oxypurinol and thiopurinol - reduced elimination of azathioprine and 6-mercaptopurine, reduce dose by</w:t>
            </w:r>
            <w:r>
              <w:rPr>
                <w:sz w:val="22"/>
                <w:szCs w:val="22"/>
              </w:rPr>
              <w:t xml:space="preserve"> one quarter of original dose. </w:t>
            </w:r>
            <w:r w:rsidRPr="006140D1">
              <w:rPr>
                <w:rFonts w:cs="Arial"/>
                <w:sz w:val="22"/>
                <w:szCs w:val="22"/>
              </w:rPr>
              <w:t>●</w:t>
            </w:r>
            <w:r>
              <w:rPr>
                <w:rFonts w:cs="Arial"/>
                <w:sz w:val="22"/>
                <w:szCs w:val="22"/>
              </w:rPr>
              <w:t xml:space="preserve"> </w:t>
            </w:r>
            <w:r w:rsidRPr="00AB105A">
              <w:rPr>
                <w:sz w:val="22"/>
                <w:szCs w:val="22"/>
              </w:rPr>
              <w:t>Warfarin - reduced anticoagulant effect.</w:t>
            </w:r>
            <w:r w:rsidRPr="006140D1">
              <w:rPr>
                <w:rFonts w:cs="Arial"/>
                <w:sz w:val="22"/>
                <w:szCs w:val="22"/>
              </w:rPr>
              <w:t xml:space="preserve"> ●</w:t>
            </w:r>
            <w:r w:rsidRPr="00AB105A">
              <w:rPr>
                <w:sz w:val="22"/>
                <w:szCs w:val="22"/>
              </w:rPr>
              <w:t>Captopril and possibly other ACE inhibitors - increased risk of myelosuppression.</w:t>
            </w:r>
            <w:r w:rsidRPr="006140D1">
              <w:rPr>
                <w:rFonts w:cs="Arial"/>
                <w:sz w:val="22"/>
                <w:szCs w:val="22"/>
              </w:rPr>
              <w:t xml:space="preserve"> ●</w:t>
            </w:r>
            <w:r>
              <w:rPr>
                <w:rFonts w:cs="Arial"/>
                <w:sz w:val="22"/>
                <w:szCs w:val="22"/>
              </w:rPr>
              <w:t xml:space="preserve"> </w:t>
            </w:r>
            <w:r w:rsidRPr="00AB105A">
              <w:rPr>
                <w:sz w:val="22"/>
                <w:szCs w:val="22"/>
              </w:rPr>
              <w:t>Co-trimoxazole and trimethoprim - increased risk of myelosuppression.</w:t>
            </w:r>
            <w:r w:rsidRPr="006140D1">
              <w:rPr>
                <w:rFonts w:cs="Arial"/>
                <w:sz w:val="22"/>
                <w:szCs w:val="22"/>
              </w:rPr>
              <w:t xml:space="preserve"> ●</w:t>
            </w:r>
            <w:r w:rsidRPr="00AB105A">
              <w:rPr>
                <w:sz w:val="22"/>
                <w:szCs w:val="22"/>
              </w:rPr>
              <w:t>Clozapine - increased risk of agranulocytosis.</w:t>
            </w:r>
            <w:r w:rsidRPr="006140D1">
              <w:rPr>
                <w:rFonts w:cs="Arial"/>
                <w:sz w:val="22"/>
                <w:szCs w:val="22"/>
              </w:rPr>
              <w:t xml:space="preserve"> ●</w:t>
            </w:r>
            <w:r w:rsidRPr="00AB105A">
              <w:rPr>
                <w:sz w:val="22"/>
                <w:szCs w:val="22"/>
              </w:rPr>
              <w:t>Sulfasalazine, mesalazine and olsalazine - possible increased risk of leuco</w:t>
            </w:r>
            <w:r>
              <w:rPr>
                <w:sz w:val="22"/>
                <w:szCs w:val="22"/>
              </w:rPr>
              <w:t>penia</w:t>
            </w:r>
            <w:r w:rsidRPr="00AB105A">
              <w:rPr>
                <w:sz w:val="22"/>
                <w:szCs w:val="22"/>
              </w:rPr>
              <w:t>.</w:t>
            </w:r>
            <w:r w:rsidRPr="006140D1">
              <w:rPr>
                <w:rFonts w:cs="Arial"/>
                <w:sz w:val="22"/>
                <w:szCs w:val="22"/>
              </w:rPr>
              <w:t xml:space="preserve"> </w:t>
            </w:r>
          </w:p>
        </w:tc>
      </w:tr>
      <w:tr w:rsidR="00AB40A8" w14:paraId="2842E141" w14:textId="77777777" w:rsidTr="008A4BD0">
        <w:trPr>
          <w:trHeight w:val="450"/>
        </w:trPr>
        <w:tc>
          <w:tcPr>
            <w:tcW w:w="3240" w:type="dxa"/>
            <w:shd w:val="clear" w:color="auto" w:fill="CCFFFF"/>
          </w:tcPr>
          <w:p w14:paraId="6A62C780" w14:textId="1941F059" w:rsidR="00AB40A8" w:rsidRDefault="00AB40A8" w:rsidP="00AB40A8">
            <w:r>
              <w:t>Pregnancy &amp; Breastfeeding:</w:t>
            </w:r>
          </w:p>
        </w:tc>
        <w:tc>
          <w:tcPr>
            <w:tcW w:w="7200" w:type="dxa"/>
            <w:shd w:val="clear" w:color="auto" w:fill="auto"/>
          </w:tcPr>
          <w:p w14:paraId="11AE5562" w14:textId="77777777" w:rsidR="00AB40A8" w:rsidRDefault="00AB40A8" w:rsidP="00AB40A8">
            <w:pPr>
              <w:rPr>
                <w:rFonts w:cs="Arial"/>
                <w:sz w:val="22"/>
                <w:szCs w:val="22"/>
              </w:rPr>
            </w:pPr>
            <w:r>
              <w:rPr>
                <w:rFonts w:cs="Arial"/>
                <w:sz w:val="22"/>
                <w:szCs w:val="22"/>
              </w:rPr>
              <w:t xml:space="preserve">Where deemed appropriate continue </w:t>
            </w:r>
            <w:r w:rsidRPr="00730760">
              <w:rPr>
                <w:rFonts w:cs="Arial"/>
                <w:sz w:val="22"/>
                <w:szCs w:val="22"/>
              </w:rPr>
              <w:t>in pregnancy</w:t>
            </w:r>
            <w:r>
              <w:rPr>
                <w:rFonts w:cs="Arial"/>
                <w:sz w:val="22"/>
                <w:szCs w:val="22"/>
              </w:rPr>
              <w:t>, but combine</w:t>
            </w:r>
            <w:r w:rsidRPr="00730760">
              <w:rPr>
                <w:rFonts w:cs="Arial"/>
                <w:sz w:val="22"/>
                <w:szCs w:val="22"/>
              </w:rPr>
              <w:t xml:space="preserve"> with folic acid 5mg od. </w:t>
            </w:r>
          </w:p>
          <w:p w14:paraId="6A8C6D1D" w14:textId="680E5C47" w:rsidR="00AB40A8" w:rsidRPr="00463C1F" w:rsidRDefault="00AB40A8" w:rsidP="00AB40A8">
            <w:pPr>
              <w:overflowPunct/>
              <w:autoSpaceDE/>
              <w:autoSpaceDN/>
              <w:adjustRightInd/>
              <w:textAlignment w:val="auto"/>
              <w:rPr>
                <w:sz w:val="22"/>
                <w:szCs w:val="22"/>
              </w:rPr>
            </w:pPr>
            <w:r>
              <w:rPr>
                <w:rFonts w:cs="Arial"/>
                <w:sz w:val="22"/>
                <w:szCs w:val="22"/>
              </w:rPr>
              <w:t>Considered safe when breast feeding.</w:t>
            </w:r>
          </w:p>
        </w:tc>
      </w:tr>
      <w:tr w:rsidR="00AB40A8" w:rsidRPr="007F51C6" w14:paraId="026CDC73" w14:textId="77777777" w:rsidTr="008A4BD0">
        <w:trPr>
          <w:trHeight w:val="625"/>
        </w:trPr>
        <w:tc>
          <w:tcPr>
            <w:tcW w:w="10440" w:type="dxa"/>
            <w:gridSpan w:val="2"/>
            <w:shd w:val="clear" w:color="auto" w:fill="auto"/>
          </w:tcPr>
          <w:p w14:paraId="37F32993" w14:textId="77777777" w:rsidR="00AB40A8" w:rsidRPr="006140D1" w:rsidRDefault="00AB40A8" w:rsidP="00AB40A8">
            <w:pPr>
              <w:rPr>
                <w:sz w:val="20"/>
              </w:rPr>
            </w:pPr>
            <w:r w:rsidRPr="006140D1">
              <w:rPr>
                <w:sz w:val="20"/>
              </w:rPr>
              <w:t>Please refer to licensed datasheet for more comprehensive prescribing information:</w:t>
            </w:r>
          </w:p>
          <w:p w14:paraId="068ECB1E" w14:textId="77777777" w:rsidR="00AB40A8" w:rsidRDefault="00323D19" w:rsidP="00AB40A8">
            <w:hyperlink r:id="rId10" w:history="1">
              <w:r w:rsidR="00AB40A8" w:rsidRPr="00FD1A92">
                <w:rPr>
                  <w:rStyle w:val="Hyperlink"/>
                  <w:sz w:val="20"/>
                </w:rPr>
                <w:t>http://www.medicines.org.uk/EMC/medicine/2881/SPC/Imuran+Tablets+25mg/</w:t>
              </w:r>
            </w:hyperlink>
            <w:r w:rsidR="00AB40A8" w:rsidRPr="006140D1">
              <w:rPr>
                <w:sz w:val="18"/>
                <w:szCs w:val="18"/>
              </w:rPr>
              <w:t xml:space="preserve"> </w:t>
            </w:r>
          </w:p>
          <w:p w14:paraId="2F12E1CA" w14:textId="77777777" w:rsidR="00AB40A8" w:rsidRPr="007F51C6" w:rsidRDefault="00AB40A8" w:rsidP="00AB40A8"/>
        </w:tc>
      </w:tr>
    </w:tbl>
    <w:p w14:paraId="1BC3C621" w14:textId="77777777" w:rsidR="00FB0308" w:rsidRDefault="00FB0308" w:rsidP="00FB0308"/>
    <w:p w14:paraId="4094ADFD" w14:textId="77777777" w:rsidR="00FB0308" w:rsidRDefault="00FB0308" w:rsidP="00FB0308"/>
    <w:p w14:paraId="5C9A5BC7" w14:textId="20655041" w:rsidR="008A4BD0" w:rsidRDefault="001113B5" w:rsidP="008A4BD0">
      <w:pPr>
        <w:pStyle w:val="Heading2"/>
      </w:pPr>
      <w:bookmarkStart w:id="6" w:name="_Toc531873920"/>
      <w:r w:rsidRPr="008A4BD0">
        <w:t>Cyclosporine</w:t>
      </w:r>
      <w:bookmarkEnd w:id="6"/>
    </w:p>
    <w:tbl>
      <w:tblPr>
        <w:tblW w:w="1055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7278"/>
      </w:tblGrid>
      <w:tr w:rsidR="008A4BD0" w:rsidRPr="00730760" w14:paraId="370C435A" w14:textId="77777777" w:rsidTr="008A4BD0">
        <w:tc>
          <w:tcPr>
            <w:tcW w:w="3275" w:type="dxa"/>
            <w:shd w:val="clear" w:color="auto" w:fill="CCFFFF"/>
          </w:tcPr>
          <w:p w14:paraId="54FD627C" w14:textId="77777777" w:rsidR="008A4BD0" w:rsidRPr="00730760" w:rsidRDefault="008A4BD0" w:rsidP="00094335">
            <w:pPr>
              <w:rPr>
                <w:rFonts w:cs="Arial"/>
                <w:sz w:val="22"/>
                <w:szCs w:val="22"/>
              </w:rPr>
            </w:pPr>
            <w:r w:rsidRPr="00730760">
              <w:rPr>
                <w:rFonts w:cs="Arial"/>
                <w:sz w:val="22"/>
                <w:szCs w:val="22"/>
              </w:rPr>
              <w:t>Dose:</w:t>
            </w:r>
          </w:p>
        </w:tc>
        <w:tc>
          <w:tcPr>
            <w:tcW w:w="7278" w:type="dxa"/>
            <w:shd w:val="clear" w:color="auto" w:fill="auto"/>
          </w:tcPr>
          <w:p w14:paraId="17B8054B" w14:textId="77777777" w:rsidR="008A4BD0" w:rsidRPr="00730760" w:rsidRDefault="008A4BD0" w:rsidP="00094335">
            <w:pPr>
              <w:rPr>
                <w:rFonts w:cs="Arial"/>
                <w:sz w:val="22"/>
                <w:szCs w:val="22"/>
              </w:rPr>
            </w:pPr>
            <w:r>
              <w:rPr>
                <w:rFonts w:cs="Arial"/>
                <w:sz w:val="22"/>
                <w:szCs w:val="22"/>
              </w:rPr>
              <w:t>RA us</w:t>
            </w:r>
            <w:r w:rsidRPr="00730760">
              <w:rPr>
                <w:rFonts w:cs="Arial"/>
                <w:sz w:val="22"/>
                <w:szCs w:val="22"/>
              </w:rPr>
              <w:t>ual starting dose of 1-2mg/kg daily</w:t>
            </w:r>
            <w:r>
              <w:rPr>
                <w:rFonts w:cs="Arial"/>
                <w:sz w:val="22"/>
                <w:szCs w:val="22"/>
              </w:rPr>
              <w:t xml:space="preserve"> in 2 divided doses</w:t>
            </w:r>
            <w:r w:rsidRPr="00730760">
              <w:rPr>
                <w:rFonts w:cs="Arial"/>
                <w:sz w:val="22"/>
                <w:szCs w:val="22"/>
              </w:rPr>
              <w:t xml:space="preserve"> for </w:t>
            </w:r>
            <w:r>
              <w:rPr>
                <w:rFonts w:cs="Arial"/>
                <w:sz w:val="22"/>
                <w:szCs w:val="22"/>
              </w:rPr>
              <w:t>6</w:t>
            </w:r>
            <w:r w:rsidRPr="00730760">
              <w:rPr>
                <w:rFonts w:cs="Arial"/>
                <w:sz w:val="22"/>
                <w:szCs w:val="22"/>
              </w:rPr>
              <w:t xml:space="preserve"> weeks. Then small 25mg incremental increases in dose 2 weekly until clinically effective</w:t>
            </w:r>
            <w:r>
              <w:rPr>
                <w:rFonts w:cs="Arial"/>
                <w:sz w:val="22"/>
                <w:szCs w:val="22"/>
              </w:rPr>
              <w:t xml:space="preserve"> or</w:t>
            </w:r>
            <w:r w:rsidRPr="00730760">
              <w:rPr>
                <w:rFonts w:cs="Arial"/>
                <w:sz w:val="22"/>
                <w:szCs w:val="22"/>
              </w:rPr>
              <w:t xml:space="preserve"> </w:t>
            </w:r>
            <w:r>
              <w:rPr>
                <w:rFonts w:cs="Arial"/>
                <w:sz w:val="22"/>
                <w:szCs w:val="22"/>
              </w:rPr>
              <w:t xml:space="preserve">maximum dose </w:t>
            </w:r>
            <w:r w:rsidRPr="00730760">
              <w:rPr>
                <w:rFonts w:cs="Arial"/>
                <w:sz w:val="22"/>
                <w:szCs w:val="22"/>
              </w:rPr>
              <w:t>4mg/kg or toxici</w:t>
            </w:r>
            <w:r>
              <w:rPr>
                <w:rFonts w:cs="Arial"/>
                <w:sz w:val="22"/>
                <w:szCs w:val="22"/>
              </w:rPr>
              <w:t xml:space="preserve">ty occurs (increase in </w:t>
            </w:r>
            <w:r w:rsidRPr="00730760">
              <w:rPr>
                <w:rFonts w:cs="Arial"/>
                <w:sz w:val="22"/>
                <w:szCs w:val="22"/>
              </w:rPr>
              <w:t>Creatinine/Potassium).</w:t>
            </w:r>
          </w:p>
          <w:p w14:paraId="09AFC459" w14:textId="77777777" w:rsidR="008A4BD0" w:rsidRPr="009A35FF" w:rsidRDefault="008A4BD0" w:rsidP="00094335">
            <w:pPr>
              <w:rPr>
                <w:rFonts w:cs="Arial"/>
                <w:sz w:val="22"/>
                <w:szCs w:val="22"/>
              </w:rPr>
            </w:pPr>
            <w:r>
              <w:rPr>
                <w:rFonts w:cs="Arial"/>
                <w:sz w:val="22"/>
                <w:szCs w:val="22"/>
                <w:lang w:val="en"/>
              </w:rPr>
              <w:t>(</w:t>
            </w:r>
            <w:r w:rsidRPr="009A35FF">
              <w:rPr>
                <w:rFonts w:cs="Arial"/>
                <w:sz w:val="22"/>
                <w:szCs w:val="22"/>
                <w:lang w:val="en"/>
              </w:rPr>
              <w:t>Refer to datasheet for dosage reduction in patients with increasing creatinine levels)</w:t>
            </w:r>
          </w:p>
        </w:tc>
      </w:tr>
      <w:tr w:rsidR="008A4BD0" w:rsidRPr="00730760" w14:paraId="3E9CF29C" w14:textId="77777777" w:rsidTr="008A4BD0">
        <w:trPr>
          <w:trHeight w:val="90"/>
        </w:trPr>
        <w:tc>
          <w:tcPr>
            <w:tcW w:w="3275" w:type="dxa"/>
            <w:shd w:val="clear" w:color="auto" w:fill="CCFFFF"/>
          </w:tcPr>
          <w:p w14:paraId="6C80B64C" w14:textId="77777777" w:rsidR="008A4BD0" w:rsidRDefault="008A4BD0" w:rsidP="00094335">
            <w:r w:rsidRPr="00730760">
              <w:rPr>
                <w:rFonts w:cs="Arial"/>
                <w:sz w:val="22"/>
                <w:szCs w:val="22"/>
              </w:rPr>
              <w:t>Baseline Tests:</w:t>
            </w:r>
          </w:p>
        </w:tc>
        <w:tc>
          <w:tcPr>
            <w:tcW w:w="7278" w:type="dxa"/>
            <w:shd w:val="clear" w:color="auto" w:fill="auto"/>
          </w:tcPr>
          <w:p w14:paraId="20DE8350" w14:textId="77777777" w:rsidR="008A4BD0" w:rsidRPr="00730760" w:rsidRDefault="008A4BD0" w:rsidP="00094335">
            <w:pPr>
              <w:rPr>
                <w:rFonts w:cs="Arial"/>
                <w:sz w:val="22"/>
                <w:szCs w:val="22"/>
              </w:rPr>
            </w:pPr>
            <w:r w:rsidRPr="00730760">
              <w:rPr>
                <w:rFonts w:cs="Arial"/>
                <w:sz w:val="22"/>
                <w:szCs w:val="22"/>
              </w:rPr>
              <w:t>Clinical examina</w:t>
            </w:r>
            <w:r>
              <w:rPr>
                <w:rFonts w:cs="Arial"/>
                <w:sz w:val="22"/>
                <w:szCs w:val="22"/>
              </w:rPr>
              <w:t>tion including blood pressure and u</w:t>
            </w:r>
            <w:r w:rsidRPr="00730760">
              <w:rPr>
                <w:rFonts w:cs="Arial"/>
                <w:sz w:val="22"/>
                <w:szCs w:val="22"/>
              </w:rPr>
              <w:t>rinalysis</w:t>
            </w:r>
          </w:p>
          <w:p w14:paraId="136057BA" w14:textId="77777777" w:rsidR="008A4BD0" w:rsidRPr="00730760" w:rsidRDefault="008A4BD0" w:rsidP="00094335">
            <w:pPr>
              <w:rPr>
                <w:rFonts w:cs="Arial"/>
                <w:sz w:val="22"/>
                <w:szCs w:val="22"/>
                <w:lang w:val="it-IT"/>
              </w:rPr>
            </w:pPr>
            <w:r w:rsidRPr="00730760">
              <w:rPr>
                <w:rFonts w:cs="Arial"/>
                <w:sz w:val="22"/>
                <w:szCs w:val="22"/>
                <w:lang w:val="it-IT"/>
              </w:rPr>
              <w:t>FBC/U&amp;E/LFT/Urate/Lipids</w:t>
            </w:r>
            <w:r>
              <w:rPr>
                <w:rFonts w:cs="Arial"/>
                <w:sz w:val="22"/>
                <w:szCs w:val="22"/>
                <w:lang w:val="it-IT"/>
              </w:rPr>
              <w:t xml:space="preserve"> + consider pregnancy test</w:t>
            </w:r>
          </w:p>
          <w:p w14:paraId="72122EDE" w14:textId="77777777" w:rsidR="008A4BD0" w:rsidRPr="00730760" w:rsidRDefault="008A4BD0" w:rsidP="00094335">
            <w:pPr>
              <w:rPr>
                <w:rFonts w:cs="Arial"/>
                <w:sz w:val="22"/>
                <w:szCs w:val="22"/>
              </w:rPr>
            </w:pPr>
            <w:r>
              <w:rPr>
                <w:rFonts w:cs="Arial"/>
                <w:sz w:val="22"/>
                <w:szCs w:val="22"/>
              </w:rPr>
              <w:t xml:space="preserve">Note </w:t>
            </w:r>
            <w:r w:rsidRPr="00730760">
              <w:rPr>
                <w:rFonts w:cs="Arial"/>
                <w:sz w:val="22"/>
                <w:szCs w:val="22"/>
              </w:rPr>
              <w:t xml:space="preserve">24 hour urine CrCl or PCI and GFR </w:t>
            </w:r>
            <w:r>
              <w:rPr>
                <w:rFonts w:cs="Arial"/>
                <w:sz w:val="22"/>
                <w:szCs w:val="22"/>
              </w:rPr>
              <w:t xml:space="preserve">is </w:t>
            </w:r>
            <w:r w:rsidRPr="00730760">
              <w:rPr>
                <w:rFonts w:cs="Arial"/>
                <w:sz w:val="22"/>
                <w:szCs w:val="22"/>
              </w:rPr>
              <w:t>suggested</w:t>
            </w:r>
          </w:p>
        </w:tc>
      </w:tr>
      <w:tr w:rsidR="008A4BD0" w:rsidRPr="00730760" w14:paraId="02DECA1C" w14:textId="77777777" w:rsidTr="008A4BD0">
        <w:trPr>
          <w:trHeight w:val="90"/>
        </w:trPr>
        <w:tc>
          <w:tcPr>
            <w:tcW w:w="3275" w:type="dxa"/>
            <w:shd w:val="clear" w:color="auto" w:fill="CCFFFF"/>
          </w:tcPr>
          <w:p w14:paraId="26141D2B" w14:textId="77777777" w:rsidR="008A4BD0" w:rsidRPr="00730760" w:rsidRDefault="008A4BD0" w:rsidP="00094335">
            <w:pPr>
              <w:rPr>
                <w:rFonts w:cs="Arial"/>
                <w:sz w:val="22"/>
                <w:szCs w:val="22"/>
              </w:rPr>
            </w:pPr>
            <w:r w:rsidRPr="00730760">
              <w:rPr>
                <w:rFonts w:cs="Arial"/>
                <w:sz w:val="22"/>
                <w:szCs w:val="22"/>
              </w:rPr>
              <w:t>Routine Monitoring:</w:t>
            </w:r>
          </w:p>
        </w:tc>
        <w:tc>
          <w:tcPr>
            <w:tcW w:w="7278" w:type="dxa"/>
            <w:shd w:val="clear" w:color="auto" w:fill="auto"/>
          </w:tcPr>
          <w:p w14:paraId="6CAFD3EF" w14:textId="77777777" w:rsidR="008A4BD0" w:rsidRPr="00730760" w:rsidRDefault="008A4BD0" w:rsidP="00094335">
            <w:pPr>
              <w:rPr>
                <w:rFonts w:cs="Arial"/>
                <w:sz w:val="22"/>
                <w:szCs w:val="22"/>
              </w:rPr>
            </w:pPr>
            <w:r w:rsidRPr="00730760">
              <w:rPr>
                <w:rFonts w:cs="Arial"/>
                <w:sz w:val="22"/>
                <w:szCs w:val="22"/>
              </w:rPr>
              <w:t>Blood pressure (with each blood test)</w:t>
            </w:r>
          </w:p>
          <w:p w14:paraId="30626572" w14:textId="77777777" w:rsidR="008A4BD0" w:rsidRDefault="008A4BD0" w:rsidP="00094335">
            <w:pPr>
              <w:rPr>
                <w:rFonts w:cs="Arial"/>
                <w:sz w:val="22"/>
                <w:szCs w:val="22"/>
              </w:rPr>
            </w:pPr>
            <w:r w:rsidRPr="00730760">
              <w:rPr>
                <w:rFonts w:cs="Arial"/>
                <w:sz w:val="22"/>
                <w:szCs w:val="22"/>
              </w:rPr>
              <w:t xml:space="preserve">U&amp;Es/LFTs </w:t>
            </w:r>
          </w:p>
          <w:p w14:paraId="49DA965D" w14:textId="77777777" w:rsidR="008A4BD0" w:rsidRPr="00730760" w:rsidRDefault="008A4BD0" w:rsidP="00094335">
            <w:pPr>
              <w:rPr>
                <w:rFonts w:cs="Arial"/>
                <w:sz w:val="22"/>
                <w:szCs w:val="22"/>
              </w:rPr>
            </w:pPr>
            <w:r w:rsidRPr="00730760">
              <w:rPr>
                <w:rFonts w:cs="Arial"/>
                <w:sz w:val="22"/>
                <w:szCs w:val="22"/>
              </w:rPr>
              <w:t>2 weekly until stable dosage reached</w:t>
            </w:r>
          </w:p>
          <w:p w14:paraId="61C7405B" w14:textId="77777777" w:rsidR="008A4BD0" w:rsidRPr="00730760" w:rsidRDefault="008A4BD0" w:rsidP="00094335">
            <w:pPr>
              <w:rPr>
                <w:rFonts w:cs="Arial"/>
                <w:sz w:val="22"/>
                <w:szCs w:val="22"/>
              </w:rPr>
            </w:pPr>
            <w:r>
              <w:rPr>
                <w:rFonts w:cs="Arial"/>
                <w:sz w:val="22"/>
                <w:szCs w:val="22"/>
              </w:rPr>
              <w:t>Then monthly for 4 months, t</w:t>
            </w:r>
            <w:r w:rsidRPr="00730760">
              <w:rPr>
                <w:rFonts w:cs="Arial"/>
                <w:sz w:val="22"/>
                <w:szCs w:val="22"/>
              </w:rPr>
              <w:t>hen 3 monthly</w:t>
            </w:r>
          </w:p>
          <w:p w14:paraId="0B22AB1F" w14:textId="77777777" w:rsidR="008A4BD0" w:rsidRDefault="008A4BD0" w:rsidP="00094335">
            <w:pPr>
              <w:rPr>
                <w:rFonts w:cs="Arial"/>
                <w:sz w:val="22"/>
                <w:szCs w:val="22"/>
              </w:rPr>
            </w:pPr>
            <w:r w:rsidRPr="00730760">
              <w:rPr>
                <w:rFonts w:cs="Arial"/>
                <w:sz w:val="22"/>
                <w:szCs w:val="22"/>
              </w:rPr>
              <w:t>Check lipids/urate at 2-3 months (optional)</w:t>
            </w:r>
          </w:p>
          <w:p w14:paraId="33FCC358" w14:textId="34DEB2B5" w:rsidR="00CA3B20" w:rsidRPr="00CA3B20" w:rsidRDefault="00CA3B20" w:rsidP="00094335">
            <w:pPr>
              <w:rPr>
                <w:sz w:val="22"/>
                <w:szCs w:val="22"/>
              </w:rPr>
            </w:pPr>
            <w:r w:rsidRPr="00CA3B20">
              <w:rPr>
                <w:rFonts w:eastAsia="Merriweather"/>
                <w:sz w:val="22"/>
                <w:szCs w:val="22"/>
              </w:rPr>
              <w:t xml:space="preserve">Dose increases should be monitored by FBC, </w:t>
            </w:r>
            <w:r>
              <w:rPr>
                <w:rFonts w:eastAsia="Merriweather"/>
                <w:sz w:val="22"/>
                <w:szCs w:val="22"/>
              </w:rPr>
              <w:t>U&amp;Es</w:t>
            </w:r>
            <w:r w:rsidRPr="00CA3B20">
              <w:rPr>
                <w:rFonts w:eastAsia="Merriweather"/>
                <w:sz w:val="22"/>
                <w:szCs w:val="22"/>
              </w:rPr>
              <w:t xml:space="preserve"> every 2 weeks until on stable dose for 6 weeks then revert to previous schedule</w:t>
            </w:r>
          </w:p>
        </w:tc>
      </w:tr>
      <w:tr w:rsidR="008A4BD0" w:rsidRPr="00730760" w14:paraId="1D7012E3" w14:textId="77777777" w:rsidTr="008A4BD0">
        <w:trPr>
          <w:trHeight w:val="90"/>
        </w:trPr>
        <w:tc>
          <w:tcPr>
            <w:tcW w:w="3275" w:type="dxa"/>
            <w:shd w:val="clear" w:color="auto" w:fill="CCFFFF"/>
          </w:tcPr>
          <w:p w14:paraId="37FC3E0F" w14:textId="77777777" w:rsidR="008A4BD0" w:rsidRPr="00D31606" w:rsidRDefault="008A4BD0" w:rsidP="00094335">
            <w:pPr>
              <w:rPr>
                <w:rFonts w:cs="Arial"/>
                <w:sz w:val="22"/>
                <w:szCs w:val="22"/>
              </w:rPr>
            </w:pPr>
            <w:r w:rsidRPr="00D31606">
              <w:rPr>
                <w:rFonts w:cs="Arial"/>
                <w:sz w:val="22"/>
                <w:szCs w:val="22"/>
              </w:rPr>
              <w:t>Indications for Stopping:</w:t>
            </w:r>
          </w:p>
        </w:tc>
        <w:tc>
          <w:tcPr>
            <w:tcW w:w="7278" w:type="dxa"/>
            <w:shd w:val="clear" w:color="auto" w:fill="auto"/>
          </w:tcPr>
          <w:p w14:paraId="62E58D88" w14:textId="77777777" w:rsidR="008A4BD0" w:rsidRPr="00D31606" w:rsidRDefault="008A4BD0" w:rsidP="00094335">
            <w:pPr>
              <w:rPr>
                <w:rFonts w:cs="Arial"/>
                <w:sz w:val="22"/>
                <w:szCs w:val="22"/>
              </w:rPr>
            </w:pPr>
            <w:r w:rsidRPr="00D31606">
              <w:rPr>
                <w:rFonts w:cs="Arial"/>
                <w:sz w:val="22"/>
                <w:szCs w:val="22"/>
              </w:rPr>
              <w:t xml:space="preserve">Stop medication </w:t>
            </w:r>
            <w:r>
              <w:rPr>
                <w:rFonts w:cs="Arial"/>
                <w:sz w:val="22"/>
                <w:szCs w:val="22"/>
              </w:rPr>
              <w:t>and</w:t>
            </w:r>
            <w:r w:rsidRPr="00D31606">
              <w:rPr>
                <w:rFonts w:cs="Arial"/>
                <w:sz w:val="22"/>
                <w:szCs w:val="22"/>
              </w:rPr>
              <w:t xml:space="preserve"> contact </w:t>
            </w:r>
            <w:r>
              <w:rPr>
                <w:rFonts w:cs="Arial"/>
                <w:sz w:val="22"/>
                <w:szCs w:val="22"/>
              </w:rPr>
              <w:t>the</w:t>
            </w:r>
            <w:r w:rsidRPr="00D31606">
              <w:rPr>
                <w:rFonts w:cs="Arial"/>
                <w:sz w:val="22"/>
                <w:szCs w:val="22"/>
              </w:rPr>
              <w:t xml:space="preserve"> rheumatology service</w:t>
            </w:r>
            <w:r>
              <w:rPr>
                <w:rFonts w:cs="Arial"/>
                <w:sz w:val="22"/>
                <w:szCs w:val="22"/>
              </w:rPr>
              <w:t xml:space="preserve"> if</w:t>
            </w:r>
            <w:r w:rsidRPr="00D31606">
              <w:rPr>
                <w:rFonts w:cs="Arial"/>
                <w:sz w:val="22"/>
                <w:szCs w:val="22"/>
              </w:rPr>
              <w:t>:</w:t>
            </w:r>
          </w:p>
          <w:p w14:paraId="1B738136" w14:textId="77777777" w:rsidR="008A4BD0" w:rsidRPr="00D31606" w:rsidRDefault="008A4BD0" w:rsidP="00094335">
            <w:pPr>
              <w:rPr>
                <w:rFonts w:cs="Arial"/>
                <w:sz w:val="22"/>
                <w:szCs w:val="22"/>
              </w:rPr>
            </w:pPr>
            <w:r w:rsidRPr="00D31606">
              <w:rPr>
                <w:rFonts w:cs="Arial"/>
                <w:sz w:val="22"/>
                <w:szCs w:val="22"/>
              </w:rPr>
              <w:t>BP              &gt;160/95 or risen &gt;20mmHg</w:t>
            </w:r>
          </w:p>
          <w:p w14:paraId="3930B030" w14:textId="77777777" w:rsidR="008A4BD0" w:rsidRPr="00D31606" w:rsidRDefault="008A4BD0" w:rsidP="00094335">
            <w:pPr>
              <w:rPr>
                <w:rFonts w:cs="Arial"/>
                <w:sz w:val="22"/>
                <w:szCs w:val="22"/>
              </w:rPr>
            </w:pPr>
            <w:r w:rsidRPr="00D31606">
              <w:rPr>
                <w:rFonts w:cs="Arial"/>
                <w:sz w:val="22"/>
                <w:szCs w:val="22"/>
              </w:rPr>
              <w:t>Potassium  &gt;5.5mmol/l (especially with ACEi)</w:t>
            </w:r>
          </w:p>
          <w:p w14:paraId="1BE3E46D" w14:textId="77777777" w:rsidR="008A4BD0" w:rsidRPr="00D31606" w:rsidRDefault="008A4BD0" w:rsidP="00094335">
            <w:pPr>
              <w:rPr>
                <w:sz w:val="22"/>
                <w:szCs w:val="22"/>
              </w:rPr>
            </w:pPr>
            <w:r w:rsidRPr="00D31606">
              <w:rPr>
                <w:sz w:val="22"/>
                <w:szCs w:val="22"/>
              </w:rPr>
              <w:t>WCC           &lt;3.5 10</w:t>
            </w:r>
            <w:r w:rsidRPr="00D31606">
              <w:rPr>
                <w:sz w:val="22"/>
                <w:szCs w:val="22"/>
                <w:vertAlign w:val="superscript"/>
              </w:rPr>
              <w:t>9/</w:t>
            </w:r>
            <w:r w:rsidRPr="00D31606">
              <w:rPr>
                <w:sz w:val="22"/>
                <w:szCs w:val="22"/>
              </w:rPr>
              <w:t>L</w:t>
            </w:r>
            <w:r>
              <w:t xml:space="preserve"> </w:t>
            </w:r>
            <w:r w:rsidRPr="002112AC">
              <w:rPr>
                <w:sz w:val="22"/>
                <w:szCs w:val="22"/>
              </w:rPr>
              <w:t xml:space="preserve">or </w:t>
            </w:r>
            <w:r>
              <w:rPr>
                <w:sz w:val="22"/>
                <w:szCs w:val="22"/>
              </w:rPr>
              <w:t xml:space="preserve">above </w:t>
            </w:r>
            <w:r w:rsidRPr="002112AC">
              <w:rPr>
                <w:sz w:val="22"/>
                <w:szCs w:val="22"/>
              </w:rPr>
              <w:t>local normal range</w:t>
            </w:r>
          </w:p>
          <w:p w14:paraId="10BEEBEA" w14:textId="77777777" w:rsidR="008A4BD0" w:rsidRPr="00D31606" w:rsidRDefault="008A4BD0" w:rsidP="00094335">
            <w:pPr>
              <w:rPr>
                <w:sz w:val="22"/>
                <w:szCs w:val="22"/>
              </w:rPr>
            </w:pPr>
            <w:r w:rsidRPr="00D31606">
              <w:rPr>
                <w:sz w:val="22"/>
                <w:szCs w:val="22"/>
              </w:rPr>
              <w:t>Neutrophils &lt; 2.0 10</w:t>
            </w:r>
            <w:r w:rsidRPr="00D31606">
              <w:rPr>
                <w:sz w:val="22"/>
                <w:szCs w:val="22"/>
                <w:vertAlign w:val="superscript"/>
              </w:rPr>
              <w:t>9/</w:t>
            </w:r>
            <w:r w:rsidRPr="00D31606">
              <w:rPr>
                <w:sz w:val="22"/>
                <w:szCs w:val="22"/>
              </w:rPr>
              <w:t>L</w:t>
            </w:r>
            <w:r>
              <w:t xml:space="preserve"> </w:t>
            </w:r>
            <w:r w:rsidRPr="002112AC">
              <w:rPr>
                <w:sz w:val="22"/>
                <w:szCs w:val="22"/>
              </w:rPr>
              <w:t xml:space="preserve">or </w:t>
            </w:r>
            <w:r>
              <w:rPr>
                <w:sz w:val="22"/>
                <w:szCs w:val="22"/>
              </w:rPr>
              <w:t xml:space="preserve">above </w:t>
            </w:r>
            <w:r w:rsidRPr="002112AC">
              <w:rPr>
                <w:sz w:val="22"/>
                <w:szCs w:val="22"/>
              </w:rPr>
              <w:t>local normal range</w:t>
            </w:r>
          </w:p>
          <w:p w14:paraId="076D19F9" w14:textId="77777777" w:rsidR="008A4BD0" w:rsidRPr="00D31606" w:rsidRDefault="008A4BD0" w:rsidP="00094335">
            <w:pPr>
              <w:rPr>
                <w:sz w:val="22"/>
                <w:szCs w:val="22"/>
              </w:rPr>
            </w:pPr>
            <w:r w:rsidRPr="00D31606">
              <w:rPr>
                <w:sz w:val="22"/>
                <w:szCs w:val="22"/>
              </w:rPr>
              <w:t>Platelets      &lt;150 10</w:t>
            </w:r>
            <w:r w:rsidRPr="00D31606">
              <w:rPr>
                <w:sz w:val="22"/>
                <w:szCs w:val="22"/>
                <w:vertAlign w:val="superscript"/>
              </w:rPr>
              <w:t>9/</w:t>
            </w:r>
            <w:r w:rsidRPr="00D31606">
              <w:rPr>
                <w:sz w:val="22"/>
                <w:szCs w:val="22"/>
              </w:rPr>
              <w:t>L</w:t>
            </w:r>
            <w:r>
              <w:t xml:space="preserve"> </w:t>
            </w:r>
            <w:r w:rsidRPr="002112AC">
              <w:rPr>
                <w:sz w:val="22"/>
                <w:szCs w:val="22"/>
              </w:rPr>
              <w:t xml:space="preserve">or </w:t>
            </w:r>
            <w:r>
              <w:rPr>
                <w:sz w:val="22"/>
                <w:szCs w:val="22"/>
              </w:rPr>
              <w:t xml:space="preserve">above </w:t>
            </w:r>
            <w:r w:rsidRPr="002112AC">
              <w:rPr>
                <w:sz w:val="22"/>
                <w:szCs w:val="22"/>
              </w:rPr>
              <w:t>local normal range</w:t>
            </w:r>
          </w:p>
          <w:p w14:paraId="7F8A0E24" w14:textId="77777777" w:rsidR="008A4BD0" w:rsidRPr="00D31606" w:rsidRDefault="008A4BD0" w:rsidP="00094335">
            <w:pPr>
              <w:rPr>
                <w:sz w:val="22"/>
                <w:szCs w:val="22"/>
              </w:rPr>
            </w:pPr>
            <w:r w:rsidRPr="00D31606">
              <w:rPr>
                <w:sz w:val="22"/>
                <w:szCs w:val="22"/>
              </w:rPr>
              <w:t>AST or ALT &gt; 3 times normal range (iu/L)</w:t>
            </w:r>
          </w:p>
          <w:p w14:paraId="6E4D6D1E" w14:textId="058DCE03" w:rsidR="008A4BD0" w:rsidRPr="00D31606" w:rsidRDefault="008A4BD0" w:rsidP="00094335">
            <w:pPr>
              <w:rPr>
                <w:rFonts w:cs="Arial"/>
                <w:sz w:val="22"/>
                <w:szCs w:val="22"/>
              </w:rPr>
            </w:pPr>
            <w:r w:rsidRPr="00D31606">
              <w:rPr>
                <w:rFonts w:cs="Arial"/>
                <w:sz w:val="22"/>
                <w:szCs w:val="22"/>
              </w:rPr>
              <w:t>Ankle swelling/Headache (check BP)/</w:t>
            </w:r>
          </w:p>
          <w:p w14:paraId="2B60036C" w14:textId="3DF76EC8" w:rsidR="008A4BD0" w:rsidRPr="00730760" w:rsidRDefault="008A4BD0" w:rsidP="00922873">
            <w:pPr>
              <w:rPr>
                <w:rFonts w:cs="Arial"/>
                <w:sz w:val="22"/>
                <w:szCs w:val="22"/>
              </w:rPr>
            </w:pPr>
            <w:r w:rsidRPr="00D31606">
              <w:rPr>
                <w:rFonts w:cs="Arial"/>
                <w:sz w:val="22"/>
                <w:szCs w:val="22"/>
              </w:rPr>
              <w:t>Tremor/</w:t>
            </w:r>
            <w:r w:rsidR="00922873">
              <w:rPr>
                <w:rFonts w:cs="Arial"/>
                <w:sz w:val="22"/>
                <w:szCs w:val="22"/>
              </w:rPr>
              <w:t>g</w:t>
            </w:r>
            <w:r w:rsidRPr="00D31606">
              <w:rPr>
                <w:rFonts w:cs="Arial"/>
                <w:sz w:val="22"/>
                <w:szCs w:val="22"/>
              </w:rPr>
              <w:t>ingival hyperplasia</w:t>
            </w:r>
            <w:r w:rsidR="00922873">
              <w:rPr>
                <w:rFonts w:cs="Arial"/>
                <w:sz w:val="22"/>
                <w:szCs w:val="22"/>
              </w:rPr>
              <w:t>/ h</w:t>
            </w:r>
            <w:r w:rsidR="00922873" w:rsidRPr="00D31606">
              <w:rPr>
                <w:rFonts w:cs="Arial"/>
                <w:sz w:val="22"/>
                <w:szCs w:val="22"/>
              </w:rPr>
              <w:t>irsutism</w:t>
            </w:r>
            <w:r w:rsidR="00922873">
              <w:rPr>
                <w:rFonts w:cs="Arial"/>
                <w:sz w:val="22"/>
                <w:szCs w:val="22"/>
              </w:rPr>
              <w:t>/confusion</w:t>
            </w:r>
          </w:p>
        </w:tc>
      </w:tr>
      <w:tr w:rsidR="008A4BD0" w:rsidRPr="00730760" w14:paraId="3F08E943" w14:textId="77777777" w:rsidTr="008A4BD0">
        <w:trPr>
          <w:trHeight w:val="90"/>
        </w:trPr>
        <w:tc>
          <w:tcPr>
            <w:tcW w:w="3275" w:type="dxa"/>
            <w:shd w:val="clear" w:color="auto" w:fill="CCFFFF"/>
          </w:tcPr>
          <w:p w14:paraId="6F916155" w14:textId="77777777" w:rsidR="008A4BD0" w:rsidRPr="00F146D0" w:rsidRDefault="008A4BD0" w:rsidP="00094335">
            <w:pPr>
              <w:rPr>
                <w:rFonts w:cs="Arial"/>
                <w:sz w:val="22"/>
                <w:szCs w:val="22"/>
              </w:rPr>
            </w:pPr>
            <w:r w:rsidRPr="00F146D0">
              <w:rPr>
                <w:rFonts w:cs="Arial"/>
                <w:sz w:val="22"/>
                <w:szCs w:val="22"/>
              </w:rPr>
              <w:t>Additional Information:</w:t>
            </w:r>
          </w:p>
        </w:tc>
        <w:tc>
          <w:tcPr>
            <w:tcW w:w="7278" w:type="dxa"/>
            <w:shd w:val="clear" w:color="auto" w:fill="auto"/>
          </w:tcPr>
          <w:p w14:paraId="374FF609" w14:textId="77777777" w:rsidR="008A4BD0" w:rsidRDefault="008A4BD0" w:rsidP="00094335">
            <w:pPr>
              <w:rPr>
                <w:rFonts w:cs="Arial"/>
                <w:color w:val="333333"/>
                <w:sz w:val="22"/>
                <w:szCs w:val="22"/>
                <w:lang w:val="en"/>
              </w:rPr>
            </w:pPr>
            <w:r>
              <w:rPr>
                <w:rFonts w:cs="Arial"/>
                <w:sz w:val="22"/>
                <w:szCs w:val="22"/>
              </w:rPr>
              <w:t xml:space="preserve">Contra-indications - </w:t>
            </w:r>
            <w:r w:rsidRPr="00730760">
              <w:rPr>
                <w:rFonts w:cs="Arial"/>
                <w:color w:val="333333"/>
                <w:sz w:val="22"/>
                <w:szCs w:val="22"/>
                <w:lang w:val="en"/>
              </w:rPr>
              <w:t>abnormal renal function, uncontrolled hypert</w:t>
            </w:r>
            <w:r>
              <w:rPr>
                <w:rFonts w:cs="Arial"/>
                <w:color w:val="333333"/>
                <w:sz w:val="22"/>
                <w:szCs w:val="22"/>
                <w:lang w:val="en"/>
              </w:rPr>
              <w:t>ension, uncontrolled infections</w:t>
            </w:r>
            <w:r w:rsidRPr="00730760">
              <w:rPr>
                <w:rFonts w:cs="Arial"/>
                <w:color w:val="333333"/>
                <w:sz w:val="22"/>
                <w:szCs w:val="22"/>
                <w:lang w:val="en"/>
              </w:rPr>
              <w:t xml:space="preserve"> and malignancy</w:t>
            </w:r>
            <w:r>
              <w:rPr>
                <w:rFonts w:cs="Arial"/>
                <w:color w:val="333333"/>
                <w:sz w:val="22"/>
                <w:szCs w:val="22"/>
                <w:lang w:val="en"/>
              </w:rPr>
              <w:t>.</w:t>
            </w:r>
          </w:p>
          <w:p w14:paraId="119E905D" w14:textId="77777777" w:rsidR="008A4BD0" w:rsidRDefault="008A4BD0" w:rsidP="00094335">
            <w:pPr>
              <w:rPr>
                <w:rFonts w:cs="Arial"/>
                <w:color w:val="333333"/>
                <w:sz w:val="22"/>
                <w:szCs w:val="22"/>
                <w:lang w:val="en"/>
              </w:rPr>
            </w:pPr>
            <w:r>
              <w:rPr>
                <w:rFonts w:cs="Arial"/>
                <w:color w:val="333333"/>
                <w:sz w:val="22"/>
                <w:szCs w:val="22"/>
                <w:lang w:val="en"/>
              </w:rPr>
              <w:t>Generic formulations are now available – confirm preparation before prescribing.</w:t>
            </w:r>
          </w:p>
          <w:p w14:paraId="0B14F224" w14:textId="77777777" w:rsidR="008A4BD0" w:rsidRDefault="008A4BD0" w:rsidP="00094335">
            <w:pPr>
              <w:rPr>
                <w:rFonts w:cs="Arial"/>
                <w:color w:val="333333"/>
                <w:sz w:val="22"/>
                <w:szCs w:val="22"/>
                <w:u w:val="single"/>
                <w:lang w:val="en"/>
              </w:rPr>
            </w:pPr>
            <w:r w:rsidRPr="00D63E55">
              <w:rPr>
                <w:rFonts w:cs="Arial"/>
                <w:color w:val="333333"/>
                <w:sz w:val="22"/>
                <w:szCs w:val="22"/>
                <w:u w:val="single"/>
                <w:lang w:val="en"/>
              </w:rPr>
              <w:t>Important drug reactions:</w:t>
            </w:r>
          </w:p>
          <w:p w14:paraId="3D9A04F4" w14:textId="5A8B8F19" w:rsidR="008A4BD0" w:rsidRPr="00BD0C67" w:rsidRDefault="008A4BD0" w:rsidP="00094335">
            <w:pPr>
              <w:rPr>
                <w:rFonts w:ascii="Arial" w:hAnsi="Arial" w:cs="Arial"/>
              </w:rPr>
            </w:pPr>
            <w:r>
              <w:rPr>
                <w:color w:val="333333"/>
                <w:sz w:val="22"/>
                <w:szCs w:val="22"/>
                <w:lang w:val="en"/>
              </w:rPr>
              <w:t>•</w:t>
            </w:r>
            <w:r w:rsidRPr="003D5BBF">
              <w:rPr>
                <w:rFonts w:cs="Arial"/>
                <w:b/>
                <w:color w:val="333333"/>
                <w:sz w:val="22"/>
                <w:szCs w:val="22"/>
                <w:lang w:val="en"/>
              </w:rPr>
              <w:t>Drugs which decrease ciclosporin levels (CYP3A4):</w:t>
            </w:r>
            <w:r w:rsidRPr="00BD0C67">
              <w:rPr>
                <w:rFonts w:ascii="Arial" w:hAnsi="Arial" w:cs="Arial"/>
                <w:i/>
                <w:iCs/>
                <w:color w:val="000000"/>
                <w:szCs w:val="24"/>
                <w:lang w:eastAsia="en-GB"/>
              </w:rPr>
              <w:t xml:space="preserve"> </w:t>
            </w:r>
            <w:r w:rsidRPr="00BD0C67">
              <w:rPr>
                <w:iCs/>
                <w:sz w:val="22"/>
                <w:szCs w:val="22"/>
              </w:rPr>
              <w:t>Barbiturates, carbamazepine, oxcarbazepine, phenytoin; nafcillin, intravenous sulfadimidine, probucol, orlistat, ticlopidine, sulfinpyrazone, terbinafine, bosentan</w:t>
            </w:r>
            <w:r w:rsidRPr="00BD0C67">
              <w:rPr>
                <w:sz w:val="22"/>
                <w:szCs w:val="22"/>
              </w:rPr>
              <w:t>.</w:t>
            </w:r>
          </w:p>
          <w:p w14:paraId="58BCCF1E" w14:textId="77777777" w:rsidR="008A4BD0" w:rsidRPr="00BD0C67" w:rsidRDefault="008A4BD0" w:rsidP="00094335">
            <w:pPr>
              <w:rPr>
                <w:color w:val="333333"/>
                <w:sz w:val="22"/>
                <w:szCs w:val="22"/>
                <w:lang w:val="en"/>
              </w:rPr>
            </w:pPr>
            <w:r w:rsidRPr="003D5BBF">
              <w:rPr>
                <w:b/>
                <w:color w:val="333333"/>
                <w:sz w:val="22"/>
                <w:szCs w:val="22"/>
                <w:lang w:val="en"/>
              </w:rPr>
              <w:t>•</w:t>
            </w:r>
            <w:r w:rsidRPr="003D5BBF">
              <w:rPr>
                <w:rFonts w:cs="Arial"/>
                <w:b/>
                <w:color w:val="333333"/>
                <w:sz w:val="22"/>
                <w:szCs w:val="22"/>
                <w:lang w:val="en"/>
              </w:rPr>
              <w:t>Drugs which increase ciclosporin levels (CYP3A4):</w:t>
            </w:r>
            <w:r>
              <w:rPr>
                <w:rFonts w:cs="Arial"/>
                <w:color w:val="333333"/>
                <w:sz w:val="22"/>
                <w:szCs w:val="22"/>
                <w:lang w:val="en"/>
              </w:rPr>
              <w:t xml:space="preserve"> Macrolide antibiotics, azole antibiotics, amiodarone, diltiazem, verapamil, n</w:t>
            </w:r>
            <w:r w:rsidRPr="00BD0C67">
              <w:rPr>
                <w:iCs/>
                <w:sz w:val="22"/>
                <w:szCs w:val="22"/>
              </w:rPr>
              <w:t>icardipine, metoclopramide, oral contraceptives, methylprednisolone (high dose), allopurinol, cholic acid and derivatives, protease inhibitors, imatinib, colchicine, nefazodone</w:t>
            </w:r>
            <w:r>
              <w:rPr>
                <w:iCs/>
                <w:sz w:val="22"/>
                <w:szCs w:val="22"/>
              </w:rPr>
              <w:t>.</w:t>
            </w:r>
          </w:p>
          <w:p w14:paraId="5E62A0DE" w14:textId="77777777" w:rsidR="008A4BD0" w:rsidRDefault="008A4BD0" w:rsidP="00094335">
            <w:pPr>
              <w:rPr>
                <w:rFonts w:cs="Arial"/>
                <w:color w:val="333333"/>
                <w:sz w:val="22"/>
                <w:szCs w:val="22"/>
                <w:lang w:val="en"/>
              </w:rPr>
            </w:pPr>
            <w:r>
              <w:rPr>
                <w:color w:val="333333"/>
                <w:sz w:val="22"/>
                <w:szCs w:val="22"/>
                <w:lang w:val="en"/>
              </w:rPr>
              <w:t>•</w:t>
            </w:r>
            <w:r w:rsidRPr="003D5BBF">
              <w:rPr>
                <w:rFonts w:cs="Arial"/>
                <w:b/>
                <w:color w:val="333333"/>
                <w:sz w:val="22"/>
                <w:szCs w:val="22"/>
                <w:lang w:val="en"/>
              </w:rPr>
              <w:t>NSAIDS</w:t>
            </w:r>
            <w:r>
              <w:rPr>
                <w:rFonts w:cs="Arial"/>
                <w:color w:val="333333"/>
                <w:sz w:val="22"/>
                <w:szCs w:val="22"/>
                <w:lang w:val="en"/>
              </w:rPr>
              <w:t xml:space="preserve"> - increased risk of abnormal LFTs in patients taking NSAIDs (Note the dose of diclofenac should be decreased by 50%).</w:t>
            </w:r>
          </w:p>
          <w:p w14:paraId="08C23EDE" w14:textId="77777777" w:rsidR="008A4BD0" w:rsidRDefault="008A4BD0" w:rsidP="00094335">
            <w:pPr>
              <w:rPr>
                <w:rFonts w:cs="Arial"/>
                <w:color w:val="333333"/>
                <w:sz w:val="22"/>
                <w:szCs w:val="22"/>
                <w:lang w:val="en"/>
              </w:rPr>
            </w:pPr>
            <w:r>
              <w:rPr>
                <w:color w:val="333333"/>
                <w:sz w:val="22"/>
                <w:szCs w:val="22"/>
                <w:lang w:val="en"/>
              </w:rPr>
              <w:t>•</w:t>
            </w:r>
            <w:r>
              <w:rPr>
                <w:rFonts w:cs="Arial"/>
                <w:color w:val="333333"/>
                <w:sz w:val="22"/>
                <w:szCs w:val="22"/>
                <w:lang w:val="en"/>
              </w:rPr>
              <w:t>Statins – Confirm the need for dose reduction or avoidance of certain statins (</w:t>
            </w:r>
            <w:r w:rsidRPr="003D5BBF">
              <w:rPr>
                <w:rFonts w:cs="Arial"/>
                <w:color w:val="333333"/>
                <w:sz w:val="22"/>
                <w:szCs w:val="22"/>
                <w:u w:val="single"/>
                <w:lang w:val="en"/>
              </w:rPr>
              <w:t>avoid simvastatin and rosuvastatin</w:t>
            </w:r>
            <w:r>
              <w:rPr>
                <w:rFonts w:cs="Arial"/>
                <w:color w:val="333333"/>
                <w:sz w:val="22"/>
                <w:szCs w:val="22"/>
                <w:lang w:val="en"/>
              </w:rPr>
              <w:t>) in accordance with the licensed datasheet.</w:t>
            </w:r>
          </w:p>
          <w:p w14:paraId="1EF27270" w14:textId="77777777" w:rsidR="008A4BD0" w:rsidRDefault="008A4BD0" w:rsidP="00094335">
            <w:pPr>
              <w:rPr>
                <w:rFonts w:cs="Arial"/>
                <w:color w:val="333333"/>
                <w:sz w:val="22"/>
                <w:szCs w:val="22"/>
                <w:lang w:val="en"/>
              </w:rPr>
            </w:pPr>
            <w:r>
              <w:rPr>
                <w:color w:val="333333"/>
                <w:sz w:val="22"/>
                <w:szCs w:val="22"/>
                <w:lang w:val="en"/>
              </w:rPr>
              <w:t>•</w:t>
            </w:r>
            <w:r>
              <w:rPr>
                <w:rFonts w:cs="Arial"/>
                <w:color w:val="333333"/>
                <w:sz w:val="22"/>
                <w:szCs w:val="22"/>
                <w:lang w:val="en"/>
              </w:rPr>
              <w:t>Digoxin and colchicine - reduced clearance</w:t>
            </w:r>
          </w:p>
          <w:p w14:paraId="561CF778" w14:textId="77777777" w:rsidR="008A4BD0" w:rsidRPr="00BD0C67" w:rsidRDefault="008A4BD0" w:rsidP="00094335">
            <w:pPr>
              <w:rPr>
                <w:rFonts w:cs="Arial"/>
                <w:color w:val="333333"/>
                <w:sz w:val="22"/>
                <w:szCs w:val="22"/>
                <w:lang w:val="en"/>
              </w:rPr>
            </w:pPr>
            <w:r>
              <w:rPr>
                <w:color w:val="333333"/>
                <w:sz w:val="22"/>
                <w:szCs w:val="22"/>
                <w:lang w:val="en"/>
              </w:rPr>
              <w:t>•</w:t>
            </w:r>
            <w:r>
              <w:rPr>
                <w:rFonts w:cs="Arial"/>
                <w:color w:val="333333"/>
                <w:sz w:val="22"/>
                <w:szCs w:val="22"/>
                <w:lang w:val="en"/>
              </w:rPr>
              <w:t>St John’s Wort - significantly decreases ciclosporin levels and should be avoided.</w:t>
            </w:r>
          </w:p>
          <w:p w14:paraId="304EAD0F" w14:textId="77777777" w:rsidR="008A4BD0" w:rsidRDefault="008A4BD0" w:rsidP="00094335">
            <w:pPr>
              <w:rPr>
                <w:rFonts w:cs="Arial"/>
                <w:color w:val="333333"/>
                <w:sz w:val="22"/>
                <w:szCs w:val="22"/>
                <w:lang w:val="en"/>
              </w:rPr>
            </w:pPr>
            <w:r>
              <w:rPr>
                <w:color w:val="333333"/>
                <w:sz w:val="22"/>
                <w:szCs w:val="22"/>
                <w:lang w:val="en"/>
              </w:rPr>
              <w:t>•</w:t>
            </w:r>
            <w:r w:rsidRPr="00D73304">
              <w:rPr>
                <w:rFonts w:cs="Arial"/>
                <w:b/>
                <w:color w:val="333333"/>
                <w:sz w:val="22"/>
                <w:szCs w:val="22"/>
                <w:lang w:val="en"/>
              </w:rPr>
              <w:t>Grapefruit and grapefruit juice</w:t>
            </w:r>
            <w:r>
              <w:rPr>
                <w:rFonts w:cs="Arial"/>
                <w:color w:val="333333"/>
                <w:sz w:val="22"/>
                <w:szCs w:val="22"/>
                <w:lang w:val="en"/>
              </w:rPr>
              <w:t xml:space="preserve"> - avoid an hour before and after taking ciclosporin.</w:t>
            </w:r>
          </w:p>
          <w:p w14:paraId="5551D298" w14:textId="77777777" w:rsidR="008A4BD0" w:rsidRPr="00300DF3" w:rsidRDefault="008A4BD0" w:rsidP="00094335">
            <w:pPr>
              <w:rPr>
                <w:rFonts w:cs="Arial"/>
                <w:color w:val="FF0000"/>
                <w:sz w:val="22"/>
                <w:szCs w:val="22"/>
              </w:rPr>
            </w:pPr>
            <w:r>
              <w:rPr>
                <w:color w:val="333333"/>
                <w:sz w:val="22"/>
                <w:szCs w:val="22"/>
                <w:lang w:val="en"/>
              </w:rPr>
              <w:t>•</w:t>
            </w:r>
            <w:r>
              <w:rPr>
                <w:rFonts w:cs="Arial"/>
                <w:color w:val="333333"/>
                <w:sz w:val="22"/>
                <w:szCs w:val="22"/>
                <w:lang w:val="en"/>
              </w:rPr>
              <w:t xml:space="preserve">Live vaccines should not be given -  refer to the vaccine section for more detailed information </w:t>
            </w:r>
          </w:p>
        </w:tc>
      </w:tr>
      <w:tr w:rsidR="008A4BD0" w:rsidRPr="00730760" w14:paraId="1B872902" w14:textId="77777777" w:rsidTr="008A4BD0">
        <w:tc>
          <w:tcPr>
            <w:tcW w:w="10553" w:type="dxa"/>
            <w:gridSpan w:val="2"/>
            <w:shd w:val="clear" w:color="auto" w:fill="auto"/>
          </w:tcPr>
          <w:p w14:paraId="5F7B0E16" w14:textId="77777777" w:rsidR="008A4BD0" w:rsidRPr="00730760" w:rsidRDefault="008A4BD0" w:rsidP="00094335">
            <w:pPr>
              <w:rPr>
                <w:rFonts w:cs="Arial"/>
                <w:sz w:val="18"/>
                <w:szCs w:val="18"/>
              </w:rPr>
            </w:pPr>
            <w:r w:rsidRPr="00730760">
              <w:rPr>
                <w:sz w:val="18"/>
                <w:szCs w:val="18"/>
              </w:rPr>
              <w:t>Please refer to licensed datasheet for more comprehensive prescribing information:</w:t>
            </w:r>
          </w:p>
          <w:p w14:paraId="0ED85024" w14:textId="77777777" w:rsidR="008A4BD0" w:rsidRPr="00730760" w:rsidRDefault="008A4BD0" w:rsidP="00094335">
            <w:pPr>
              <w:rPr>
                <w:rFonts w:cs="Arial"/>
                <w:sz w:val="22"/>
                <w:szCs w:val="22"/>
              </w:rPr>
            </w:pPr>
            <w:r w:rsidRPr="006E35CE">
              <w:rPr>
                <w:rFonts w:cs="Arial"/>
                <w:sz w:val="18"/>
                <w:szCs w:val="18"/>
              </w:rPr>
              <w:t>http://www.medicines.org.uk/EMC/medicine/22945/SPC/Deximune+25mg%2c+50mg%2c+100mg+Capsules</w:t>
            </w:r>
            <w:r w:rsidRPr="006E35CE">
              <w:rPr>
                <w:rFonts w:cs="Arial"/>
                <w:sz w:val="22"/>
                <w:szCs w:val="22"/>
              </w:rPr>
              <w:t>/</w:t>
            </w:r>
          </w:p>
        </w:tc>
      </w:tr>
    </w:tbl>
    <w:p w14:paraId="2B3CE07C" w14:textId="77777777" w:rsidR="008A4BD0" w:rsidRDefault="008A4BD0" w:rsidP="008A4BD0">
      <w:pPr>
        <w:rPr>
          <w:b/>
        </w:rPr>
      </w:pPr>
    </w:p>
    <w:p w14:paraId="597CB5B5" w14:textId="041651D6" w:rsidR="008A4BD0" w:rsidRDefault="008A4BD0" w:rsidP="008A4BD0">
      <w:pPr>
        <w:rPr>
          <w:b/>
        </w:rPr>
      </w:pPr>
    </w:p>
    <w:p w14:paraId="2053D798" w14:textId="42D7949D" w:rsidR="008A4BD0" w:rsidRDefault="001113B5" w:rsidP="008A4BD0">
      <w:pPr>
        <w:pStyle w:val="Heading2"/>
        <w:rPr>
          <w:b w:val="0"/>
        </w:rPr>
      </w:pPr>
      <w:bookmarkStart w:id="7" w:name="_Toc531873921"/>
      <w:r w:rsidRPr="00730760">
        <w:lastRenderedPageBreak/>
        <w:t>Cyclophosphamide</w:t>
      </w:r>
      <w:bookmarkEnd w:id="7"/>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8A4BD0" w:rsidRPr="00730760" w14:paraId="49104895" w14:textId="77777777" w:rsidTr="00094335">
        <w:tc>
          <w:tcPr>
            <w:tcW w:w="3240" w:type="dxa"/>
            <w:shd w:val="clear" w:color="auto" w:fill="CCFFFF"/>
          </w:tcPr>
          <w:p w14:paraId="493BDF0A" w14:textId="77777777" w:rsidR="008A4BD0" w:rsidRDefault="008A4BD0" w:rsidP="00094335">
            <w:r>
              <w:t>Dose:</w:t>
            </w:r>
          </w:p>
        </w:tc>
        <w:tc>
          <w:tcPr>
            <w:tcW w:w="7200" w:type="dxa"/>
            <w:shd w:val="clear" w:color="auto" w:fill="auto"/>
          </w:tcPr>
          <w:p w14:paraId="18E860AC" w14:textId="77777777" w:rsidR="008A4BD0" w:rsidRPr="00730760" w:rsidRDefault="008A4BD0" w:rsidP="00094335">
            <w:pPr>
              <w:rPr>
                <w:sz w:val="22"/>
                <w:szCs w:val="22"/>
              </w:rPr>
            </w:pPr>
            <w:r>
              <w:rPr>
                <w:sz w:val="22"/>
                <w:szCs w:val="22"/>
              </w:rPr>
              <w:t>The regimen varies according to the clinical indication and co-morbidities. An example of one current regime is:</w:t>
            </w:r>
          </w:p>
          <w:p w14:paraId="25D15863" w14:textId="77777777" w:rsidR="008A4BD0" w:rsidRPr="00730760" w:rsidRDefault="008A4BD0" w:rsidP="00094335">
            <w:pPr>
              <w:rPr>
                <w:sz w:val="22"/>
                <w:szCs w:val="22"/>
              </w:rPr>
            </w:pPr>
            <w:r w:rsidRPr="00730760">
              <w:rPr>
                <w:sz w:val="22"/>
                <w:szCs w:val="22"/>
              </w:rPr>
              <w:t xml:space="preserve">10-15mg /kg IV Cyclophosphamide + </w:t>
            </w:r>
            <w:r>
              <w:rPr>
                <w:sz w:val="22"/>
                <w:szCs w:val="22"/>
              </w:rPr>
              <w:t>2.</w:t>
            </w:r>
            <w:r w:rsidRPr="00730760">
              <w:rPr>
                <w:sz w:val="22"/>
                <w:szCs w:val="22"/>
              </w:rPr>
              <w:t>5</w:t>
            </w:r>
            <w:r>
              <w:rPr>
                <w:sz w:val="22"/>
                <w:szCs w:val="22"/>
              </w:rPr>
              <w:t xml:space="preserve"> - 10mg/kg</w:t>
            </w:r>
            <w:r w:rsidRPr="00730760">
              <w:rPr>
                <w:sz w:val="22"/>
                <w:szCs w:val="22"/>
              </w:rPr>
              <w:t xml:space="preserve"> IV methylprednisolone</w:t>
            </w:r>
          </w:p>
          <w:p w14:paraId="6B38A6C1" w14:textId="77777777" w:rsidR="008A4BD0" w:rsidRDefault="008A4BD0" w:rsidP="00094335">
            <w:pPr>
              <w:rPr>
                <w:sz w:val="22"/>
                <w:szCs w:val="22"/>
              </w:rPr>
            </w:pPr>
            <w:r w:rsidRPr="00730760">
              <w:rPr>
                <w:sz w:val="22"/>
                <w:szCs w:val="22"/>
              </w:rPr>
              <w:t>3 pulses given 2 weekly, then 3 given 3 weekly</w:t>
            </w:r>
            <w:r>
              <w:rPr>
                <w:sz w:val="22"/>
                <w:szCs w:val="22"/>
              </w:rPr>
              <w:t xml:space="preserve"> </w:t>
            </w:r>
          </w:p>
          <w:p w14:paraId="77621D51" w14:textId="77777777" w:rsidR="008A4BD0" w:rsidRDefault="008A4BD0" w:rsidP="00094335">
            <w:pPr>
              <w:rPr>
                <w:sz w:val="22"/>
                <w:szCs w:val="22"/>
              </w:rPr>
            </w:pPr>
            <w:r>
              <w:rPr>
                <w:sz w:val="22"/>
                <w:szCs w:val="22"/>
              </w:rPr>
              <w:t>Oral mesna can be given in conjunction with cyclophosphamide: 400mg orally 2 hours before, 2 hours after and 6 hours after. However the risk of haemorrhagic cystitis is deemed to be low with current standard dosage regimes used in rheumatology.</w:t>
            </w:r>
          </w:p>
          <w:p w14:paraId="0A0B9926" w14:textId="77777777" w:rsidR="008A4BD0" w:rsidRPr="00730760" w:rsidRDefault="008A4BD0" w:rsidP="00094335">
            <w:pPr>
              <w:rPr>
                <w:sz w:val="22"/>
                <w:szCs w:val="22"/>
              </w:rPr>
            </w:pPr>
            <w:r>
              <w:rPr>
                <w:sz w:val="22"/>
                <w:szCs w:val="22"/>
              </w:rPr>
              <w:t>Although not highly emetogenic some patients may require pre-treatment with an anti-emetic.</w:t>
            </w:r>
          </w:p>
          <w:p w14:paraId="79FF0FDB" w14:textId="77777777" w:rsidR="008A4BD0" w:rsidRPr="00730760" w:rsidRDefault="008A4BD0" w:rsidP="00094335">
            <w:pPr>
              <w:rPr>
                <w:sz w:val="22"/>
                <w:szCs w:val="22"/>
              </w:rPr>
            </w:pPr>
            <w:r w:rsidRPr="00730760">
              <w:rPr>
                <w:sz w:val="22"/>
                <w:szCs w:val="22"/>
              </w:rPr>
              <w:t xml:space="preserve">A high fluid intake </w:t>
            </w:r>
            <w:r>
              <w:rPr>
                <w:sz w:val="22"/>
                <w:szCs w:val="22"/>
              </w:rPr>
              <w:t>should be encouraged on the day of administration.</w:t>
            </w:r>
            <w:r w:rsidRPr="00730760">
              <w:rPr>
                <w:sz w:val="22"/>
                <w:szCs w:val="22"/>
              </w:rPr>
              <w:t xml:space="preserve"> </w:t>
            </w:r>
          </w:p>
        </w:tc>
      </w:tr>
      <w:tr w:rsidR="008A4BD0" w:rsidRPr="00730760" w14:paraId="6CCA6F1E" w14:textId="77777777" w:rsidTr="00094335">
        <w:trPr>
          <w:trHeight w:val="90"/>
        </w:trPr>
        <w:tc>
          <w:tcPr>
            <w:tcW w:w="3240" w:type="dxa"/>
            <w:shd w:val="clear" w:color="auto" w:fill="CCFFFF"/>
          </w:tcPr>
          <w:p w14:paraId="10BD5812" w14:textId="77777777" w:rsidR="008A4BD0" w:rsidRDefault="008A4BD0" w:rsidP="00094335">
            <w:r>
              <w:t>Baseline tests:</w:t>
            </w:r>
          </w:p>
        </w:tc>
        <w:tc>
          <w:tcPr>
            <w:tcW w:w="7200" w:type="dxa"/>
            <w:shd w:val="clear" w:color="auto" w:fill="auto"/>
          </w:tcPr>
          <w:p w14:paraId="551A6166" w14:textId="77777777" w:rsidR="005B6053" w:rsidRDefault="008A4BD0" w:rsidP="00094335">
            <w:pPr>
              <w:rPr>
                <w:sz w:val="22"/>
                <w:szCs w:val="22"/>
              </w:rPr>
            </w:pPr>
            <w:r w:rsidRPr="00730760">
              <w:rPr>
                <w:sz w:val="22"/>
                <w:szCs w:val="22"/>
              </w:rPr>
              <w:t>FBC/U&amp;E/LFT</w:t>
            </w:r>
            <w:r w:rsidR="005B6053">
              <w:rPr>
                <w:sz w:val="22"/>
                <w:szCs w:val="22"/>
              </w:rPr>
              <w:t xml:space="preserve"> </w:t>
            </w:r>
          </w:p>
          <w:p w14:paraId="69D2883D" w14:textId="77777777" w:rsidR="005B6053" w:rsidRDefault="005B6053" w:rsidP="00094335">
            <w:pPr>
              <w:rPr>
                <w:sz w:val="22"/>
                <w:szCs w:val="22"/>
              </w:rPr>
            </w:pPr>
            <w:r w:rsidRPr="00730760">
              <w:rPr>
                <w:sz w:val="22"/>
                <w:szCs w:val="22"/>
              </w:rPr>
              <w:t>Urinalysis</w:t>
            </w:r>
            <w:r>
              <w:rPr>
                <w:sz w:val="22"/>
                <w:szCs w:val="22"/>
              </w:rPr>
              <w:t xml:space="preserve"> </w:t>
            </w:r>
          </w:p>
          <w:p w14:paraId="4EB0B988" w14:textId="41981C71" w:rsidR="008A4BD0" w:rsidRDefault="005B6053" w:rsidP="00094335">
            <w:pPr>
              <w:rPr>
                <w:sz w:val="22"/>
                <w:szCs w:val="22"/>
              </w:rPr>
            </w:pPr>
            <w:r>
              <w:rPr>
                <w:sz w:val="22"/>
                <w:szCs w:val="22"/>
              </w:rPr>
              <w:t>C</w:t>
            </w:r>
            <w:r w:rsidR="008A4BD0">
              <w:rPr>
                <w:sz w:val="22"/>
                <w:szCs w:val="22"/>
              </w:rPr>
              <w:t>onsider pregnancy test</w:t>
            </w:r>
          </w:p>
        </w:tc>
      </w:tr>
      <w:tr w:rsidR="008A4BD0" w:rsidRPr="00730760" w14:paraId="39C03D3B" w14:textId="77777777" w:rsidTr="00094335">
        <w:trPr>
          <w:trHeight w:val="90"/>
        </w:trPr>
        <w:tc>
          <w:tcPr>
            <w:tcW w:w="3240" w:type="dxa"/>
            <w:shd w:val="clear" w:color="auto" w:fill="CCFFFF"/>
          </w:tcPr>
          <w:p w14:paraId="2D15D480" w14:textId="77777777" w:rsidR="008A4BD0" w:rsidRDefault="008A4BD0" w:rsidP="00094335">
            <w:r>
              <w:t>Routine Monitoring:</w:t>
            </w:r>
          </w:p>
        </w:tc>
        <w:tc>
          <w:tcPr>
            <w:tcW w:w="7200" w:type="dxa"/>
            <w:shd w:val="clear" w:color="auto" w:fill="auto"/>
          </w:tcPr>
          <w:p w14:paraId="3985FD0E" w14:textId="77777777" w:rsidR="008A4BD0" w:rsidRPr="00730760" w:rsidRDefault="008A4BD0" w:rsidP="00094335">
            <w:pPr>
              <w:rPr>
                <w:sz w:val="22"/>
                <w:szCs w:val="22"/>
              </w:rPr>
            </w:pPr>
            <w:r w:rsidRPr="00730760">
              <w:rPr>
                <w:sz w:val="22"/>
                <w:szCs w:val="22"/>
              </w:rPr>
              <w:t xml:space="preserve">FBC </w:t>
            </w:r>
            <w:r>
              <w:rPr>
                <w:sz w:val="22"/>
                <w:szCs w:val="22"/>
              </w:rPr>
              <w:t xml:space="preserve">to be performed 10 days </w:t>
            </w:r>
            <w:r w:rsidRPr="00730760">
              <w:rPr>
                <w:sz w:val="22"/>
                <w:szCs w:val="22"/>
              </w:rPr>
              <w:t>after each pulse</w:t>
            </w:r>
            <w:r>
              <w:rPr>
                <w:sz w:val="22"/>
                <w:szCs w:val="22"/>
              </w:rPr>
              <w:t xml:space="preserve"> (nadir result)</w:t>
            </w:r>
          </w:p>
          <w:p w14:paraId="6449D1A8" w14:textId="77777777" w:rsidR="008A4BD0" w:rsidRDefault="008A4BD0" w:rsidP="00094335">
            <w:pPr>
              <w:rPr>
                <w:sz w:val="22"/>
                <w:szCs w:val="22"/>
              </w:rPr>
            </w:pPr>
            <w:r w:rsidRPr="00730760">
              <w:rPr>
                <w:sz w:val="22"/>
                <w:szCs w:val="22"/>
              </w:rPr>
              <w:t>Urinal</w:t>
            </w:r>
            <w:r>
              <w:rPr>
                <w:sz w:val="22"/>
                <w:szCs w:val="22"/>
              </w:rPr>
              <w:t>ysis</w:t>
            </w:r>
            <w:r w:rsidRPr="00396947">
              <w:rPr>
                <w:sz w:val="22"/>
                <w:szCs w:val="22"/>
              </w:rPr>
              <w:t xml:space="preserve"> </w:t>
            </w:r>
          </w:p>
          <w:p w14:paraId="7EFD167C" w14:textId="77777777" w:rsidR="008A4BD0" w:rsidRPr="00702255" w:rsidRDefault="008A4BD0" w:rsidP="00094335">
            <w:pPr>
              <w:rPr>
                <w:sz w:val="22"/>
                <w:szCs w:val="22"/>
              </w:rPr>
            </w:pPr>
            <w:r w:rsidRPr="00396947">
              <w:rPr>
                <w:sz w:val="22"/>
                <w:szCs w:val="22"/>
              </w:rPr>
              <w:t>WCC           &lt;3.5</w:t>
            </w:r>
            <w:r>
              <w:rPr>
                <w:sz w:val="22"/>
                <w:szCs w:val="22"/>
              </w:rPr>
              <w:t xml:space="preserve"> 10</w:t>
            </w:r>
            <w:r>
              <w:rPr>
                <w:sz w:val="22"/>
                <w:szCs w:val="22"/>
                <w:vertAlign w:val="superscript"/>
              </w:rPr>
              <w:t>9/</w:t>
            </w:r>
            <w:r>
              <w:rPr>
                <w:sz w:val="22"/>
                <w:szCs w:val="22"/>
              </w:rPr>
              <w:t>L</w:t>
            </w:r>
            <w:r>
              <w:t xml:space="preserve"> </w:t>
            </w:r>
            <w:r w:rsidRPr="002112AC">
              <w:rPr>
                <w:sz w:val="22"/>
                <w:szCs w:val="22"/>
              </w:rPr>
              <w:t xml:space="preserve">or </w:t>
            </w:r>
            <w:r>
              <w:rPr>
                <w:sz w:val="22"/>
                <w:szCs w:val="22"/>
              </w:rPr>
              <w:t xml:space="preserve">below </w:t>
            </w:r>
            <w:r w:rsidRPr="002112AC">
              <w:rPr>
                <w:sz w:val="22"/>
                <w:szCs w:val="22"/>
              </w:rPr>
              <w:t>local normal range</w:t>
            </w:r>
          </w:p>
          <w:p w14:paraId="4E5487EF" w14:textId="77777777" w:rsidR="008A4BD0" w:rsidRPr="00702255" w:rsidRDefault="008A4BD0" w:rsidP="00094335">
            <w:pPr>
              <w:rPr>
                <w:sz w:val="22"/>
                <w:szCs w:val="22"/>
              </w:rPr>
            </w:pPr>
            <w:r w:rsidRPr="00396947">
              <w:rPr>
                <w:sz w:val="22"/>
                <w:szCs w:val="22"/>
              </w:rPr>
              <w:t>Neutrophils &lt; 2.0</w:t>
            </w:r>
            <w:r>
              <w:rPr>
                <w:sz w:val="22"/>
                <w:szCs w:val="22"/>
              </w:rPr>
              <w:t xml:space="preserve"> 10</w:t>
            </w:r>
            <w:r>
              <w:rPr>
                <w:sz w:val="22"/>
                <w:szCs w:val="22"/>
                <w:vertAlign w:val="superscript"/>
              </w:rPr>
              <w:t>9/</w:t>
            </w:r>
            <w:r>
              <w:rPr>
                <w:sz w:val="22"/>
                <w:szCs w:val="22"/>
              </w:rPr>
              <w:t>L</w:t>
            </w:r>
            <w:r>
              <w:t xml:space="preserve"> </w:t>
            </w:r>
            <w:r w:rsidRPr="002112AC">
              <w:rPr>
                <w:sz w:val="22"/>
                <w:szCs w:val="22"/>
              </w:rPr>
              <w:t xml:space="preserve">or </w:t>
            </w:r>
            <w:r>
              <w:rPr>
                <w:sz w:val="22"/>
                <w:szCs w:val="22"/>
              </w:rPr>
              <w:t xml:space="preserve">below </w:t>
            </w:r>
            <w:r w:rsidRPr="002112AC">
              <w:rPr>
                <w:sz w:val="22"/>
                <w:szCs w:val="22"/>
              </w:rPr>
              <w:t>local normal range</w:t>
            </w:r>
          </w:p>
          <w:p w14:paraId="1BEFC374" w14:textId="77777777" w:rsidR="008A4BD0" w:rsidRPr="00396947" w:rsidRDefault="008A4BD0" w:rsidP="00094335">
            <w:pPr>
              <w:rPr>
                <w:sz w:val="22"/>
                <w:szCs w:val="22"/>
              </w:rPr>
            </w:pPr>
            <w:r w:rsidRPr="00396947">
              <w:rPr>
                <w:sz w:val="22"/>
                <w:szCs w:val="22"/>
              </w:rPr>
              <w:t>Platelets      &lt;150</w:t>
            </w:r>
            <w:r>
              <w:rPr>
                <w:sz w:val="22"/>
                <w:szCs w:val="22"/>
              </w:rPr>
              <w:t xml:space="preserve"> 10</w:t>
            </w:r>
            <w:r>
              <w:rPr>
                <w:sz w:val="22"/>
                <w:szCs w:val="22"/>
                <w:vertAlign w:val="superscript"/>
              </w:rPr>
              <w:t>9/</w:t>
            </w:r>
            <w:r>
              <w:rPr>
                <w:sz w:val="22"/>
                <w:szCs w:val="22"/>
              </w:rPr>
              <w:t>L</w:t>
            </w:r>
            <w:r>
              <w:t xml:space="preserve"> </w:t>
            </w:r>
            <w:r w:rsidRPr="002112AC">
              <w:rPr>
                <w:sz w:val="22"/>
                <w:szCs w:val="22"/>
              </w:rPr>
              <w:t xml:space="preserve">or </w:t>
            </w:r>
            <w:r>
              <w:rPr>
                <w:sz w:val="22"/>
                <w:szCs w:val="22"/>
              </w:rPr>
              <w:t xml:space="preserve">below </w:t>
            </w:r>
            <w:r w:rsidRPr="002112AC">
              <w:rPr>
                <w:sz w:val="22"/>
                <w:szCs w:val="22"/>
              </w:rPr>
              <w:t>local normal range</w:t>
            </w:r>
          </w:p>
          <w:p w14:paraId="5829F4A2" w14:textId="77777777" w:rsidR="008A4BD0" w:rsidRPr="00396947" w:rsidRDefault="008A4BD0" w:rsidP="00094335">
            <w:pPr>
              <w:rPr>
                <w:sz w:val="22"/>
                <w:szCs w:val="22"/>
              </w:rPr>
            </w:pPr>
            <w:r w:rsidRPr="00396947">
              <w:rPr>
                <w:sz w:val="22"/>
                <w:szCs w:val="22"/>
              </w:rPr>
              <w:t>AST or ALT &gt; 3 times normal range</w:t>
            </w:r>
            <w:r>
              <w:rPr>
                <w:sz w:val="22"/>
                <w:szCs w:val="22"/>
              </w:rPr>
              <w:t xml:space="preserve"> (iu/L)</w:t>
            </w:r>
          </w:p>
          <w:p w14:paraId="5C9ACD3B" w14:textId="77777777" w:rsidR="008A4BD0" w:rsidRPr="00730760" w:rsidRDefault="008A4BD0" w:rsidP="00094335">
            <w:pPr>
              <w:rPr>
                <w:sz w:val="22"/>
                <w:szCs w:val="22"/>
              </w:rPr>
            </w:pPr>
            <w:r>
              <w:rPr>
                <w:sz w:val="22"/>
                <w:szCs w:val="22"/>
              </w:rPr>
              <w:t>Plus repeat blood r</w:t>
            </w:r>
            <w:r w:rsidRPr="00730760">
              <w:rPr>
                <w:sz w:val="22"/>
                <w:szCs w:val="22"/>
              </w:rPr>
              <w:t xml:space="preserve">esults </w:t>
            </w:r>
            <w:r>
              <w:rPr>
                <w:sz w:val="22"/>
                <w:szCs w:val="22"/>
              </w:rPr>
              <w:t xml:space="preserve">immediately </w:t>
            </w:r>
            <w:r w:rsidRPr="00730760">
              <w:rPr>
                <w:sz w:val="22"/>
                <w:szCs w:val="22"/>
              </w:rPr>
              <w:t>prior to giving next pulse</w:t>
            </w:r>
            <w:r>
              <w:rPr>
                <w:sz w:val="22"/>
                <w:szCs w:val="22"/>
              </w:rPr>
              <w:t>.</w:t>
            </w:r>
          </w:p>
        </w:tc>
      </w:tr>
      <w:tr w:rsidR="008A4BD0" w:rsidRPr="00730760" w14:paraId="01F57F17" w14:textId="77777777" w:rsidTr="00094335">
        <w:trPr>
          <w:trHeight w:val="90"/>
        </w:trPr>
        <w:tc>
          <w:tcPr>
            <w:tcW w:w="3240" w:type="dxa"/>
            <w:shd w:val="clear" w:color="auto" w:fill="CCFFFF"/>
          </w:tcPr>
          <w:p w14:paraId="1EF9D062" w14:textId="77777777" w:rsidR="008A4BD0" w:rsidRDefault="008A4BD0" w:rsidP="00094335">
            <w:r>
              <w:t>Indications for stopping:</w:t>
            </w:r>
          </w:p>
        </w:tc>
        <w:tc>
          <w:tcPr>
            <w:tcW w:w="7200" w:type="dxa"/>
            <w:shd w:val="clear" w:color="auto" w:fill="auto"/>
          </w:tcPr>
          <w:p w14:paraId="70BC122B" w14:textId="77777777" w:rsidR="008A4BD0" w:rsidRPr="00730760" w:rsidRDefault="008A4BD0" w:rsidP="00094335">
            <w:pPr>
              <w:rPr>
                <w:sz w:val="22"/>
                <w:szCs w:val="22"/>
              </w:rPr>
            </w:pPr>
            <w:r w:rsidRPr="00730760">
              <w:rPr>
                <w:sz w:val="22"/>
                <w:szCs w:val="22"/>
              </w:rPr>
              <w:t>Contact local rheumatology service if:</w:t>
            </w:r>
          </w:p>
          <w:p w14:paraId="7A120244" w14:textId="77777777" w:rsidR="008A4BD0" w:rsidRPr="00730760" w:rsidRDefault="008A4BD0" w:rsidP="00094335">
            <w:pPr>
              <w:rPr>
                <w:sz w:val="22"/>
                <w:szCs w:val="22"/>
              </w:rPr>
            </w:pPr>
            <w:r w:rsidRPr="00730760">
              <w:rPr>
                <w:sz w:val="22"/>
                <w:szCs w:val="22"/>
              </w:rPr>
              <w:t>WCC &lt; 3.5</w:t>
            </w:r>
            <w:r>
              <w:rPr>
                <w:sz w:val="22"/>
                <w:szCs w:val="22"/>
              </w:rPr>
              <w:t xml:space="preserve"> 10</w:t>
            </w:r>
            <w:r>
              <w:rPr>
                <w:sz w:val="22"/>
                <w:szCs w:val="22"/>
                <w:vertAlign w:val="superscript"/>
              </w:rPr>
              <w:t>9/</w:t>
            </w:r>
            <w:r>
              <w:rPr>
                <w:sz w:val="22"/>
                <w:szCs w:val="22"/>
              </w:rPr>
              <w:t xml:space="preserve">L </w:t>
            </w:r>
            <w:r w:rsidRPr="00730760">
              <w:rPr>
                <w:sz w:val="22"/>
                <w:szCs w:val="22"/>
              </w:rPr>
              <w:t>, Neutrophils &lt; 2.0</w:t>
            </w:r>
            <w:r>
              <w:rPr>
                <w:sz w:val="22"/>
                <w:szCs w:val="22"/>
              </w:rPr>
              <w:t xml:space="preserve"> 10</w:t>
            </w:r>
            <w:r>
              <w:rPr>
                <w:sz w:val="22"/>
                <w:szCs w:val="22"/>
                <w:vertAlign w:val="superscript"/>
              </w:rPr>
              <w:t>9/</w:t>
            </w:r>
            <w:r>
              <w:rPr>
                <w:sz w:val="22"/>
                <w:szCs w:val="22"/>
              </w:rPr>
              <w:t>L</w:t>
            </w:r>
            <w:r w:rsidRPr="00730760">
              <w:rPr>
                <w:sz w:val="22"/>
                <w:szCs w:val="22"/>
              </w:rPr>
              <w:t>, Platelets &lt;150</w:t>
            </w:r>
            <w:r>
              <w:rPr>
                <w:sz w:val="22"/>
                <w:szCs w:val="22"/>
              </w:rPr>
              <w:t xml:space="preserve"> 10</w:t>
            </w:r>
            <w:r>
              <w:rPr>
                <w:sz w:val="22"/>
                <w:szCs w:val="22"/>
                <w:vertAlign w:val="superscript"/>
              </w:rPr>
              <w:t>9/</w:t>
            </w:r>
            <w:r>
              <w:rPr>
                <w:sz w:val="22"/>
                <w:szCs w:val="22"/>
              </w:rPr>
              <w:t>L</w:t>
            </w:r>
          </w:p>
          <w:p w14:paraId="1FEDD448" w14:textId="77777777" w:rsidR="008A4BD0" w:rsidRPr="00730760" w:rsidRDefault="008A4BD0" w:rsidP="00094335">
            <w:pPr>
              <w:rPr>
                <w:sz w:val="22"/>
                <w:szCs w:val="22"/>
              </w:rPr>
            </w:pPr>
            <w:r w:rsidRPr="00730760">
              <w:rPr>
                <w:sz w:val="22"/>
                <w:szCs w:val="22"/>
              </w:rPr>
              <w:t>Oral ulceration/unusual bruising/rash/fever/cough or shortness of breath/nausea/alopecia</w:t>
            </w:r>
          </w:p>
        </w:tc>
      </w:tr>
      <w:tr w:rsidR="008A4BD0" w:rsidRPr="00730760" w14:paraId="2DA2C3E0" w14:textId="77777777" w:rsidTr="00094335">
        <w:trPr>
          <w:trHeight w:val="90"/>
        </w:trPr>
        <w:tc>
          <w:tcPr>
            <w:tcW w:w="3240" w:type="dxa"/>
            <w:shd w:val="clear" w:color="auto" w:fill="CCFFFF"/>
          </w:tcPr>
          <w:p w14:paraId="421939EC" w14:textId="77777777" w:rsidR="008A4BD0" w:rsidRDefault="008A4BD0" w:rsidP="00094335">
            <w:r>
              <w:t>Assessment of response:</w:t>
            </w:r>
          </w:p>
        </w:tc>
        <w:tc>
          <w:tcPr>
            <w:tcW w:w="7200" w:type="dxa"/>
            <w:shd w:val="clear" w:color="auto" w:fill="auto"/>
          </w:tcPr>
          <w:p w14:paraId="5CCFDECA" w14:textId="0ABC3FE0" w:rsidR="008A4BD0" w:rsidRPr="00730760" w:rsidRDefault="008A4BD0" w:rsidP="00094335">
            <w:pPr>
              <w:rPr>
                <w:sz w:val="22"/>
                <w:szCs w:val="22"/>
              </w:rPr>
            </w:pPr>
            <w:r>
              <w:rPr>
                <w:sz w:val="22"/>
                <w:szCs w:val="22"/>
              </w:rPr>
              <w:t>Defined by the Rheumatology Consultant according to the disease/organ</w:t>
            </w:r>
            <w:r w:rsidR="005B6053">
              <w:rPr>
                <w:sz w:val="22"/>
                <w:szCs w:val="22"/>
              </w:rPr>
              <w:t>(s)</w:t>
            </w:r>
            <w:r>
              <w:rPr>
                <w:sz w:val="22"/>
                <w:szCs w:val="22"/>
              </w:rPr>
              <w:t xml:space="preserve"> affected. An interim review should be performed after the first 3 pulses and full assessment after completion of 6.</w:t>
            </w:r>
            <w:r w:rsidR="005B6053">
              <w:rPr>
                <w:sz w:val="22"/>
                <w:szCs w:val="22"/>
              </w:rPr>
              <w:t xml:space="preserve"> Pulse therapies may be considered in some cases with further spacing intervals </w:t>
            </w:r>
          </w:p>
        </w:tc>
      </w:tr>
      <w:tr w:rsidR="008A4BD0" w:rsidRPr="00730760" w14:paraId="56306531" w14:textId="77777777" w:rsidTr="00094335">
        <w:trPr>
          <w:trHeight w:val="90"/>
        </w:trPr>
        <w:tc>
          <w:tcPr>
            <w:tcW w:w="3240" w:type="dxa"/>
            <w:shd w:val="clear" w:color="auto" w:fill="CCFFFF"/>
          </w:tcPr>
          <w:p w14:paraId="58412FB5" w14:textId="77777777" w:rsidR="008A4BD0" w:rsidRDefault="008A4BD0" w:rsidP="00094335">
            <w:r>
              <w:t>Additional information:</w:t>
            </w:r>
          </w:p>
          <w:p w14:paraId="57D00998" w14:textId="77777777" w:rsidR="008A4BD0" w:rsidRDefault="008A4BD0" w:rsidP="00094335"/>
          <w:p w14:paraId="630CFA10" w14:textId="77777777" w:rsidR="008A4BD0" w:rsidRDefault="008A4BD0" w:rsidP="00094335"/>
          <w:p w14:paraId="03E21C98" w14:textId="77777777" w:rsidR="008A4BD0" w:rsidRDefault="008A4BD0" w:rsidP="00094335"/>
          <w:p w14:paraId="146FB276" w14:textId="77777777" w:rsidR="008A4BD0" w:rsidRDefault="008A4BD0" w:rsidP="00094335"/>
          <w:p w14:paraId="1C1E1809" w14:textId="77777777" w:rsidR="008A4BD0" w:rsidRDefault="008A4BD0" w:rsidP="00094335"/>
          <w:p w14:paraId="498CC977" w14:textId="77777777" w:rsidR="008A4BD0" w:rsidRDefault="008A4BD0" w:rsidP="00094335"/>
          <w:p w14:paraId="3919BCE9" w14:textId="77777777" w:rsidR="008A4BD0" w:rsidRDefault="008A4BD0" w:rsidP="00094335"/>
          <w:p w14:paraId="2B7118F4" w14:textId="77777777" w:rsidR="008A4BD0" w:rsidRDefault="008A4BD0" w:rsidP="00094335"/>
          <w:p w14:paraId="2CD7081B" w14:textId="77777777" w:rsidR="008A4BD0" w:rsidRDefault="008A4BD0" w:rsidP="00094335"/>
        </w:tc>
        <w:tc>
          <w:tcPr>
            <w:tcW w:w="7200" w:type="dxa"/>
            <w:shd w:val="clear" w:color="auto" w:fill="auto"/>
          </w:tcPr>
          <w:p w14:paraId="505EC7E1" w14:textId="77777777" w:rsidR="008A4BD0" w:rsidRDefault="008A4BD0" w:rsidP="00094335">
            <w:pPr>
              <w:rPr>
                <w:sz w:val="22"/>
                <w:szCs w:val="22"/>
              </w:rPr>
            </w:pPr>
            <w:r>
              <w:rPr>
                <w:sz w:val="22"/>
                <w:szCs w:val="22"/>
              </w:rPr>
              <w:t>Infection to be excluded before administration of each infusion.</w:t>
            </w:r>
          </w:p>
          <w:p w14:paraId="5F26D4EF" w14:textId="77777777" w:rsidR="008A4BD0" w:rsidRPr="00115A3B" w:rsidRDefault="008A4BD0" w:rsidP="00094335">
            <w:pPr>
              <w:rPr>
                <w:b/>
                <w:sz w:val="22"/>
                <w:szCs w:val="22"/>
              </w:rPr>
            </w:pPr>
            <w:r w:rsidRPr="00115A3B">
              <w:rPr>
                <w:b/>
                <w:sz w:val="22"/>
                <w:szCs w:val="22"/>
              </w:rPr>
              <w:t>CAUTION:</w:t>
            </w:r>
          </w:p>
          <w:p w14:paraId="6FC3B8A0" w14:textId="77777777" w:rsidR="008A4BD0" w:rsidRPr="00363A84" w:rsidRDefault="008A4BD0" w:rsidP="00094335">
            <w:pPr>
              <w:rPr>
                <w:sz w:val="22"/>
                <w:szCs w:val="22"/>
              </w:rPr>
            </w:pPr>
            <w:r w:rsidRPr="00363A84">
              <w:rPr>
                <w:sz w:val="22"/>
                <w:szCs w:val="22"/>
              </w:rPr>
              <w:t>Porphyria</w:t>
            </w:r>
          </w:p>
          <w:p w14:paraId="428ED03B" w14:textId="77777777" w:rsidR="008A4BD0" w:rsidRPr="00363A84" w:rsidRDefault="008A4BD0" w:rsidP="00094335">
            <w:pPr>
              <w:rPr>
                <w:sz w:val="22"/>
                <w:szCs w:val="22"/>
              </w:rPr>
            </w:pPr>
            <w:r w:rsidRPr="00363A84">
              <w:rPr>
                <w:sz w:val="22"/>
                <w:szCs w:val="22"/>
              </w:rPr>
              <w:t>Previous haematological abnormality</w:t>
            </w:r>
          </w:p>
          <w:p w14:paraId="7BD735E1" w14:textId="77777777" w:rsidR="008A4BD0" w:rsidRPr="00363A84" w:rsidRDefault="008A4BD0" w:rsidP="00094335">
            <w:pPr>
              <w:rPr>
                <w:sz w:val="22"/>
                <w:szCs w:val="22"/>
              </w:rPr>
            </w:pPr>
            <w:r w:rsidRPr="00363A84">
              <w:rPr>
                <w:sz w:val="22"/>
                <w:szCs w:val="22"/>
              </w:rPr>
              <w:t>History or recurrent infection</w:t>
            </w:r>
          </w:p>
          <w:p w14:paraId="0A3AFFC3" w14:textId="77777777" w:rsidR="008A4BD0" w:rsidRPr="00363A84" w:rsidRDefault="008A4BD0" w:rsidP="00094335">
            <w:pPr>
              <w:rPr>
                <w:sz w:val="22"/>
                <w:szCs w:val="22"/>
              </w:rPr>
            </w:pPr>
            <w:r w:rsidRPr="00363A84">
              <w:rPr>
                <w:sz w:val="22"/>
                <w:szCs w:val="22"/>
              </w:rPr>
              <w:t>Renal or hepatic impairment</w:t>
            </w:r>
          </w:p>
          <w:p w14:paraId="14729B9B" w14:textId="77777777" w:rsidR="008A4BD0" w:rsidRPr="00363A84" w:rsidRDefault="008A4BD0" w:rsidP="00094335">
            <w:pPr>
              <w:rPr>
                <w:sz w:val="22"/>
                <w:szCs w:val="22"/>
              </w:rPr>
            </w:pPr>
            <w:r w:rsidRPr="00363A84">
              <w:rPr>
                <w:sz w:val="22"/>
                <w:szCs w:val="22"/>
              </w:rPr>
              <w:t xml:space="preserve">Hypersensitivity </w:t>
            </w:r>
          </w:p>
          <w:p w14:paraId="0BC852E4" w14:textId="77777777" w:rsidR="008A4BD0" w:rsidRPr="00363A84" w:rsidRDefault="008A4BD0" w:rsidP="00094335">
            <w:pPr>
              <w:rPr>
                <w:sz w:val="22"/>
                <w:szCs w:val="22"/>
              </w:rPr>
            </w:pPr>
            <w:r w:rsidRPr="00363A84">
              <w:rPr>
                <w:sz w:val="22"/>
                <w:szCs w:val="22"/>
              </w:rPr>
              <w:t>Haemorrhagic cystitis</w:t>
            </w:r>
          </w:p>
          <w:p w14:paraId="1F20B68B" w14:textId="77777777" w:rsidR="008A4BD0" w:rsidRDefault="008A4BD0" w:rsidP="00094335">
            <w:pPr>
              <w:rPr>
                <w:sz w:val="22"/>
                <w:szCs w:val="22"/>
              </w:rPr>
            </w:pPr>
            <w:r w:rsidRPr="00363A84">
              <w:rPr>
                <w:sz w:val="22"/>
                <w:szCs w:val="22"/>
              </w:rPr>
              <w:t>Urinary incontinence/ recurrent urinary tract infection</w:t>
            </w:r>
            <w:r>
              <w:rPr>
                <w:sz w:val="22"/>
                <w:szCs w:val="22"/>
              </w:rPr>
              <w:t>/catherisation</w:t>
            </w:r>
          </w:p>
          <w:p w14:paraId="4507B170" w14:textId="77777777" w:rsidR="008A4BD0" w:rsidRPr="00115A3B" w:rsidRDefault="008A4BD0" w:rsidP="00094335">
            <w:pPr>
              <w:rPr>
                <w:b/>
                <w:sz w:val="22"/>
                <w:szCs w:val="22"/>
              </w:rPr>
            </w:pPr>
            <w:r w:rsidRPr="00115A3B">
              <w:rPr>
                <w:b/>
              </w:rPr>
              <w:t>Drug Interactions:</w:t>
            </w:r>
          </w:p>
          <w:p w14:paraId="532EDF57" w14:textId="77777777" w:rsidR="008A4BD0" w:rsidRDefault="008A4BD0" w:rsidP="00094335">
            <w:pPr>
              <w:rPr>
                <w:sz w:val="22"/>
                <w:szCs w:val="22"/>
              </w:rPr>
            </w:pPr>
            <w:r w:rsidRPr="00730760">
              <w:rPr>
                <w:sz w:val="22"/>
                <w:szCs w:val="22"/>
              </w:rPr>
              <w:t>AVOID  live vaccines</w:t>
            </w:r>
          </w:p>
          <w:p w14:paraId="483AFBA6" w14:textId="77777777" w:rsidR="008A4BD0" w:rsidRDefault="008A4BD0" w:rsidP="00094335">
            <w:pPr>
              <w:rPr>
                <w:sz w:val="22"/>
                <w:szCs w:val="22"/>
              </w:rPr>
            </w:pPr>
            <w:r>
              <w:rPr>
                <w:sz w:val="22"/>
                <w:szCs w:val="22"/>
              </w:rPr>
              <w:t>Other immunosuppressants</w:t>
            </w:r>
          </w:p>
          <w:p w14:paraId="19D4F07D" w14:textId="77777777" w:rsidR="008A4BD0" w:rsidRDefault="008A4BD0" w:rsidP="00094335">
            <w:pPr>
              <w:rPr>
                <w:sz w:val="22"/>
                <w:szCs w:val="22"/>
              </w:rPr>
            </w:pPr>
            <w:r>
              <w:rPr>
                <w:sz w:val="22"/>
                <w:szCs w:val="22"/>
              </w:rPr>
              <w:t>Not with clozapine</w:t>
            </w:r>
          </w:p>
          <w:p w14:paraId="30AF7536" w14:textId="77777777" w:rsidR="008A4BD0" w:rsidRPr="00730760" w:rsidRDefault="008A4BD0" w:rsidP="00094335">
            <w:pPr>
              <w:rPr>
                <w:sz w:val="22"/>
                <w:szCs w:val="22"/>
              </w:rPr>
            </w:pPr>
            <w:r w:rsidRPr="00730760">
              <w:rPr>
                <w:sz w:val="22"/>
                <w:szCs w:val="22"/>
              </w:rPr>
              <w:t xml:space="preserve">Oral hypoglycaemics </w:t>
            </w:r>
            <w:r w:rsidRPr="00730760">
              <w:rPr>
                <w:rFonts w:cs="Arial"/>
                <w:sz w:val="22"/>
                <w:szCs w:val="22"/>
              </w:rPr>
              <w:t>may be potentiated by cyclophosphamide.</w:t>
            </w:r>
          </w:p>
        </w:tc>
      </w:tr>
      <w:tr w:rsidR="008A4BD0" w14:paraId="608817E2" w14:textId="77777777" w:rsidTr="00094335">
        <w:tc>
          <w:tcPr>
            <w:tcW w:w="10440" w:type="dxa"/>
            <w:gridSpan w:val="2"/>
            <w:shd w:val="clear" w:color="auto" w:fill="auto"/>
          </w:tcPr>
          <w:p w14:paraId="0CFD6A56" w14:textId="77777777" w:rsidR="008A4BD0" w:rsidRPr="00363A84" w:rsidRDefault="008A4BD0" w:rsidP="00094335">
            <w:pPr>
              <w:rPr>
                <w:b/>
              </w:rPr>
            </w:pPr>
            <w:r w:rsidRPr="00363A84">
              <w:rPr>
                <w:b/>
              </w:rPr>
              <w:t>Refer to the Rheumatologist and the Hospital Medicines Information Department for more detailed prescribing information.</w:t>
            </w:r>
          </w:p>
          <w:p w14:paraId="70E51C9D" w14:textId="77777777" w:rsidR="008A4BD0" w:rsidRDefault="008A4BD0" w:rsidP="00094335">
            <w:pPr>
              <w:rPr>
                <w:color w:val="FF0000"/>
              </w:rPr>
            </w:pPr>
          </w:p>
          <w:p w14:paraId="208795CB" w14:textId="77777777" w:rsidR="008A4BD0" w:rsidRDefault="008A4BD0" w:rsidP="00094335">
            <w:pPr>
              <w:rPr>
                <w:color w:val="FF0000"/>
              </w:rPr>
            </w:pPr>
          </w:p>
          <w:p w14:paraId="0C8A4FCF" w14:textId="77777777" w:rsidR="008A4BD0" w:rsidRDefault="008A4BD0" w:rsidP="00094335">
            <w:pPr>
              <w:rPr>
                <w:color w:val="FF0000"/>
              </w:rPr>
            </w:pPr>
          </w:p>
          <w:p w14:paraId="3124817B" w14:textId="77777777" w:rsidR="008A4BD0" w:rsidRPr="00730760" w:rsidRDefault="008A4BD0" w:rsidP="00094335">
            <w:pPr>
              <w:rPr>
                <w:color w:val="FF0000"/>
              </w:rPr>
            </w:pPr>
          </w:p>
        </w:tc>
      </w:tr>
    </w:tbl>
    <w:p w14:paraId="27A72258" w14:textId="77777777" w:rsidR="00C63F80" w:rsidRDefault="00C63F80" w:rsidP="00FB0308"/>
    <w:p w14:paraId="22E3A020" w14:textId="77777777" w:rsidR="00FB0308" w:rsidRPr="00FB0308" w:rsidRDefault="00FB0308" w:rsidP="00FB0308"/>
    <w:p w14:paraId="1CDCC20B" w14:textId="27941522" w:rsidR="00883346" w:rsidRDefault="001113B5" w:rsidP="008A4BD0">
      <w:pPr>
        <w:pStyle w:val="Heading2"/>
      </w:pPr>
      <w:bookmarkStart w:id="8" w:name="_Toc531873922"/>
      <w:r w:rsidRPr="00730760">
        <w:lastRenderedPageBreak/>
        <w:t xml:space="preserve">Injectable gold </w:t>
      </w:r>
      <w:r w:rsidR="008A4BD0" w:rsidRPr="00730760">
        <w:t>(</w:t>
      </w:r>
      <w:r w:rsidRPr="00730760">
        <w:t>sodium aurothiomalate</w:t>
      </w:r>
      <w:r w:rsidR="008A4BD0">
        <w:t>)</w:t>
      </w:r>
      <w:bookmarkEnd w:id="8"/>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3240"/>
        <w:gridCol w:w="7200"/>
      </w:tblGrid>
      <w:tr w:rsidR="008A4BD0" w:rsidRPr="00730760" w14:paraId="5ACF8C71" w14:textId="77777777" w:rsidTr="00094335">
        <w:tc>
          <w:tcPr>
            <w:tcW w:w="3240" w:type="dxa"/>
            <w:shd w:val="clear" w:color="auto" w:fill="CCFFFF"/>
          </w:tcPr>
          <w:p w14:paraId="2A038720" w14:textId="77777777" w:rsidR="008A4BD0" w:rsidRDefault="008A4BD0" w:rsidP="00094335">
            <w:r>
              <w:t>Dose:</w:t>
            </w:r>
          </w:p>
        </w:tc>
        <w:tc>
          <w:tcPr>
            <w:tcW w:w="7200" w:type="dxa"/>
            <w:shd w:val="clear" w:color="auto" w:fill="auto"/>
          </w:tcPr>
          <w:p w14:paraId="64639171" w14:textId="77777777" w:rsidR="008A4BD0" w:rsidRPr="00730760" w:rsidRDefault="008A4BD0" w:rsidP="00094335">
            <w:pPr>
              <w:rPr>
                <w:sz w:val="22"/>
                <w:szCs w:val="22"/>
              </w:rPr>
            </w:pPr>
            <w:r>
              <w:rPr>
                <w:sz w:val="22"/>
                <w:szCs w:val="22"/>
              </w:rPr>
              <w:t xml:space="preserve">RA - </w:t>
            </w:r>
            <w:r w:rsidRPr="00730760">
              <w:rPr>
                <w:sz w:val="22"/>
                <w:szCs w:val="22"/>
              </w:rPr>
              <w:t xml:space="preserve">An initial 10mg </w:t>
            </w:r>
            <w:r>
              <w:rPr>
                <w:sz w:val="22"/>
                <w:szCs w:val="22"/>
              </w:rPr>
              <w:t xml:space="preserve">intra-muscular </w:t>
            </w:r>
            <w:r w:rsidRPr="00730760">
              <w:rPr>
                <w:sz w:val="22"/>
                <w:szCs w:val="22"/>
              </w:rPr>
              <w:t xml:space="preserve">test dose should be given in the first week followed by a maintenance dose of 50mg </w:t>
            </w:r>
            <w:r>
              <w:rPr>
                <w:sz w:val="22"/>
                <w:szCs w:val="22"/>
              </w:rPr>
              <w:t xml:space="preserve">by intra-muscular injection </w:t>
            </w:r>
            <w:r w:rsidRPr="00730760">
              <w:rPr>
                <w:sz w:val="22"/>
                <w:szCs w:val="22"/>
              </w:rPr>
              <w:t>the following week</w:t>
            </w:r>
            <w:r>
              <w:rPr>
                <w:sz w:val="22"/>
                <w:szCs w:val="22"/>
              </w:rPr>
              <w:t xml:space="preserve"> and then weekly</w:t>
            </w:r>
            <w:r w:rsidRPr="00730760">
              <w:rPr>
                <w:sz w:val="22"/>
                <w:szCs w:val="22"/>
              </w:rPr>
              <w:t xml:space="preserve">. Patients should be monitored for 30 minutes following each dose.  FBC and urine should be checked </w:t>
            </w:r>
            <w:r>
              <w:rPr>
                <w:sz w:val="22"/>
                <w:szCs w:val="22"/>
              </w:rPr>
              <w:t xml:space="preserve">before each injection. </w:t>
            </w:r>
            <w:r w:rsidRPr="00246072">
              <w:rPr>
                <w:szCs w:val="24"/>
              </w:rPr>
              <w:t>Frequency of injections can be reduced according to response to once every 4 - 8 weeks.</w:t>
            </w:r>
          </w:p>
        </w:tc>
      </w:tr>
      <w:tr w:rsidR="008A4BD0" w:rsidRPr="00730760" w14:paraId="538039B4" w14:textId="77777777" w:rsidTr="00094335">
        <w:tc>
          <w:tcPr>
            <w:tcW w:w="3240" w:type="dxa"/>
            <w:shd w:val="clear" w:color="auto" w:fill="CCFFFF"/>
          </w:tcPr>
          <w:p w14:paraId="674BB692" w14:textId="77777777" w:rsidR="008A4BD0" w:rsidRDefault="008A4BD0" w:rsidP="00094335">
            <w:r>
              <w:t>Baseline Tests:</w:t>
            </w:r>
          </w:p>
        </w:tc>
        <w:tc>
          <w:tcPr>
            <w:tcW w:w="7200" w:type="dxa"/>
            <w:shd w:val="clear" w:color="auto" w:fill="auto"/>
          </w:tcPr>
          <w:p w14:paraId="5EA7F1FA" w14:textId="77777777" w:rsidR="008A4BD0" w:rsidRPr="00730760" w:rsidRDefault="008A4BD0" w:rsidP="008A4BD0">
            <w:pPr>
              <w:numPr>
                <w:ilvl w:val="0"/>
                <w:numId w:val="5"/>
              </w:numPr>
              <w:rPr>
                <w:sz w:val="22"/>
                <w:szCs w:val="22"/>
              </w:rPr>
            </w:pPr>
            <w:r w:rsidRPr="00730760">
              <w:rPr>
                <w:sz w:val="22"/>
                <w:szCs w:val="22"/>
              </w:rPr>
              <w:t>FBC</w:t>
            </w:r>
          </w:p>
          <w:p w14:paraId="6BFAF615" w14:textId="77777777" w:rsidR="008A4BD0" w:rsidRPr="00730760" w:rsidRDefault="008A4BD0" w:rsidP="008A4BD0">
            <w:pPr>
              <w:numPr>
                <w:ilvl w:val="0"/>
                <w:numId w:val="5"/>
              </w:numPr>
              <w:rPr>
                <w:sz w:val="22"/>
                <w:szCs w:val="22"/>
              </w:rPr>
            </w:pPr>
            <w:r w:rsidRPr="00730760">
              <w:rPr>
                <w:sz w:val="22"/>
                <w:szCs w:val="22"/>
              </w:rPr>
              <w:t>U&amp;E</w:t>
            </w:r>
          </w:p>
          <w:p w14:paraId="15BF83E9" w14:textId="77777777" w:rsidR="008A4BD0" w:rsidRPr="00730760" w:rsidRDefault="008A4BD0" w:rsidP="008A4BD0">
            <w:pPr>
              <w:numPr>
                <w:ilvl w:val="0"/>
                <w:numId w:val="5"/>
              </w:numPr>
              <w:rPr>
                <w:sz w:val="22"/>
                <w:szCs w:val="22"/>
              </w:rPr>
            </w:pPr>
            <w:r w:rsidRPr="00730760">
              <w:rPr>
                <w:sz w:val="22"/>
                <w:szCs w:val="22"/>
              </w:rPr>
              <w:t>LFT</w:t>
            </w:r>
          </w:p>
          <w:p w14:paraId="6F3433EB" w14:textId="77777777" w:rsidR="008A4BD0" w:rsidRPr="00730760" w:rsidRDefault="008A4BD0" w:rsidP="008A4BD0">
            <w:pPr>
              <w:numPr>
                <w:ilvl w:val="0"/>
                <w:numId w:val="5"/>
              </w:numPr>
              <w:rPr>
                <w:sz w:val="22"/>
                <w:szCs w:val="22"/>
              </w:rPr>
            </w:pPr>
            <w:r w:rsidRPr="00730760">
              <w:rPr>
                <w:sz w:val="22"/>
                <w:szCs w:val="22"/>
              </w:rPr>
              <w:t>Urinalysis</w:t>
            </w:r>
          </w:p>
          <w:p w14:paraId="40B8BA01" w14:textId="77777777" w:rsidR="008A4BD0" w:rsidRDefault="008A4BD0" w:rsidP="008A4BD0">
            <w:pPr>
              <w:numPr>
                <w:ilvl w:val="0"/>
                <w:numId w:val="5"/>
              </w:numPr>
              <w:rPr>
                <w:sz w:val="22"/>
                <w:szCs w:val="22"/>
              </w:rPr>
            </w:pPr>
            <w:r>
              <w:rPr>
                <w:sz w:val="22"/>
                <w:szCs w:val="22"/>
              </w:rPr>
              <w:t>Baseline chest X-ray (consider annual repeat)</w:t>
            </w:r>
          </w:p>
          <w:p w14:paraId="09C4871E" w14:textId="77777777" w:rsidR="008A4BD0" w:rsidRPr="00730760" w:rsidRDefault="008A4BD0" w:rsidP="00094335">
            <w:pPr>
              <w:rPr>
                <w:sz w:val="22"/>
                <w:szCs w:val="22"/>
              </w:rPr>
            </w:pPr>
            <w:r>
              <w:rPr>
                <w:sz w:val="22"/>
                <w:szCs w:val="22"/>
              </w:rPr>
              <w:t>Inform patient to report – pruritis, metallic taste in the mouth, sore throat or tongue, buccal ulceration, easy bruising, purpura, epistaxis, bleeding gums, inappropriate menstrual bleeding or diarrhoea.</w:t>
            </w:r>
          </w:p>
        </w:tc>
      </w:tr>
      <w:tr w:rsidR="008A4BD0" w:rsidRPr="00730760" w14:paraId="13D47878" w14:textId="77777777" w:rsidTr="00094335">
        <w:tc>
          <w:tcPr>
            <w:tcW w:w="3240" w:type="dxa"/>
            <w:shd w:val="clear" w:color="auto" w:fill="CCFFFF"/>
          </w:tcPr>
          <w:p w14:paraId="793283E1" w14:textId="77777777" w:rsidR="008A4BD0" w:rsidRDefault="008A4BD0" w:rsidP="00094335">
            <w:r>
              <w:t>Routine Monitoring:</w:t>
            </w:r>
          </w:p>
        </w:tc>
        <w:tc>
          <w:tcPr>
            <w:tcW w:w="7200" w:type="dxa"/>
            <w:shd w:val="clear" w:color="auto" w:fill="auto"/>
          </w:tcPr>
          <w:p w14:paraId="21FA589C" w14:textId="2DC68F69" w:rsidR="008A4BD0" w:rsidRPr="00730760" w:rsidRDefault="008A4BD0" w:rsidP="008A4BD0">
            <w:pPr>
              <w:numPr>
                <w:ilvl w:val="0"/>
                <w:numId w:val="7"/>
              </w:numPr>
              <w:overflowPunct/>
              <w:autoSpaceDE/>
              <w:autoSpaceDN/>
              <w:adjustRightInd/>
              <w:textAlignment w:val="auto"/>
              <w:rPr>
                <w:sz w:val="22"/>
                <w:szCs w:val="22"/>
              </w:rPr>
            </w:pPr>
            <w:r w:rsidRPr="00730760">
              <w:rPr>
                <w:sz w:val="22"/>
                <w:szCs w:val="22"/>
              </w:rPr>
              <w:t>FBC and Urinalysis at the time of each injection (Prov</w:t>
            </w:r>
            <w:r>
              <w:rPr>
                <w:sz w:val="22"/>
                <w:szCs w:val="22"/>
              </w:rPr>
              <w:t>ided blood results are stable. T</w:t>
            </w:r>
            <w:r w:rsidRPr="00730760">
              <w:rPr>
                <w:sz w:val="22"/>
                <w:szCs w:val="22"/>
              </w:rPr>
              <w:t xml:space="preserve">he results of the FBC need not be available before the injection is given but must be available before the next injection </w:t>
            </w:r>
            <w:r>
              <w:rPr>
                <w:sz w:val="22"/>
                <w:szCs w:val="22"/>
              </w:rPr>
              <w:t>(</w:t>
            </w:r>
            <w:r w:rsidRPr="00730760">
              <w:rPr>
                <w:sz w:val="22"/>
                <w:szCs w:val="22"/>
              </w:rPr>
              <w:t>i.e. it is permissible to work one FBC in arrears).</w:t>
            </w:r>
            <w:r>
              <w:rPr>
                <w:sz w:val="22"/>
                <w:szCs w:val="22"/>
              </w:rPr>
              <w:t xml:space="preserve"> FBC frequency may be reduced to </w:t>
            </w:r>
            <w:r w:rsidR="005E570D">
              <w:rPr>
                <w:sz w:val="22"/>
                <w:szCs w:val="22"/>
              </w:rPr>
              <w:t>&gt;6</w:t>
            </w:r>
            <w:r>
              <w:rPr>
                <w:sz w:val="22"/>
                <w:szCs w:val="22"/>
              </w:rPr>
              <w:t xml:space="preserve"> monthly in long term stable users.</w:t>
            </w:r>
          </w:p>
          <w:p w14:paraId="1C26148B" w14:textId="77777777" w:rsidR="008A4BD0" w:rsidRPr="00730760" w:rsidRDefault="008A4BD0" w:rsidP="008A4BD0">
            <w:pPr>
              <w:numPr>
                <w:ilvl w:val="0"/>
                <w:numId w:val="7"/>
              </w:numPr>
              <w:rPr>
                <w:sz w:val="22"/>
                <w:szCs w:val="22"/>
                <w:u w:val="single"/>
              </w:rPr>
            </w:pPr>
            <w:r w:rsidRPr="00730760">
              <w:rPr>
                <w:sz w:val="22"/>
                <w:szCs w:val="22"/>
                <w:u w:val="single"/>
              </w:rPr>
              <w:t>Urinalysis must be done before each injection</w:t>
            </w:r>
            <w:r>
              <w:rPr>
                <w:sz w:val="22"/>
                <w:szCs w:val="22"/>
                <w:u w:val="single"/>
              </w:rPr>
              <w:t>.</w:t>
            </w:r>
          </w:p>
          <w:p w14:paraId="7BEED0FD" w14:textId="77777777" w:rsidR="008A4BD0" w:rsidRPr="00730760" w:rsidRDefault="008A4BD0" w:rsidP="00094335">
            <w:pPr>
              <w:ind w:left="360"/>
              <w:rPr>
                <w:sz w:val="22"/>
                <w:szCs w:val="22"/>
              </w:rPr>
            </w:pPr>
          </w:p>
        </w:tc>
      </w:tr>
      <w:tr w:rsidR="008A4BD0" w:rsidRPr="00730760" w14:paraId="5E80AD59" w14:textId="77777777" w:rsidTr="00094335">
        <w:tc>
          <w:tcPr>
            <w:tcW w:w="3240" w:type="dxa"/>
            <w:shd w:val="clear" w:color="auto" w:fill="CCFFFF"/>
          </w:tcPr>
          <w:p w14:paraId="591E3F20" w14:textId="77777777" w:rsidR="008A4BD0" w:rsidRPr="00451398" w:rsidRDefault="008A4BD0" w:rsidP="00094335">
            <w:r w:rsidRPr="00451398">
              <w:t>Indications for Stopping Therapy:</w:t>
            </w:r>
          </w:p>
        </w:tc>
        <w:tc>
          <w:tcPr>
            <w:tcW w:w="7200" w:type="dxa"/>
            <w:shd w:val="clear" w:color="auto" w:fill="auto"/>
          </w:tcPr>
          <w:p w14:paraId="78689CEB" w14:textId="77777777" w:rsidR="008A4BD0" w:rsidRPr="00CD374A" w:rsidRDefault="008A4BD0" w:rsidP="00094335">
            <w:pPr>
              <w:overflowPunct/>
              <w:autoSpaceDE/>
              <w:autoSpaceDN/>
              <w:adjustRightInd/>
              <w:textAlignment w:val="auto"/>
              <w:rPr>
                <w:sz w:val="22"/>
                <w:szCs w:val="22"/>
              </w:rPr>
            </w:pPr>
            <w:r w:rsidRPr="00CD374A">
              <w:rPr>
                <w:b/>
                <w:sz w:val="22"/>
                <w:szCs w:val="22"/>
              </w:rPr>
              <w:t>Note:</w:t>
            </w:r>
            <w:r w:rsidRPr="00CD374A">
              <w:rPr>
                <w:sz w:val="22"/>
                <w:szCs w:val="22"/>
              </w:rPr>
              <w:t xml:space="preserve"> Anaphylactic reaction may occur at any stage of treatment and usually occurs within the first 10 minutes of administering the injection.</w:t>
            </w:r>
          </w:p>
          <w:p w14:paraId="6058CB98" w14:textId="77777777" w:rsidR="008A4BD0" w:rsidRPr="00CD374A" w:rsidRDefault="008A4BD0" w:rsidP="00094335">
            <w:pPr>
              <w:overflowPunct/>
              <w:autoSpaceDE/>
              <w:autoSpaceDN/>
              <w:adjustRightInd/>
              <w:textAlignment w:val="auto"/>
              <w:rPr>
                <w:sz w:val="22"/>
                <w:szCs w:val="22"/>
              </w:rPr>
            </w:pPr>
            <w:r w:rsidRPr="00CD374A">
              <w:rPr>
                <w:sz w:val="22"/>
                <w:szCs w:val="22"/>
              </w:rPr>
              <w:t>If the patient develops sore throat, glossitis, buccal ulceration, easy bruising, a rash or bleeding</w:t>
            </w:r>
            <w:r>
              <w:rPr>
                <w:sz w:val="22"/>
                <w:szCs w:val="22"/>
              </w:rPr>
              <w:t xml:space="preserve"> p</w:t>
            </w:r>
            <w:r w:rsidRPr="00CD374A">
              <w:rPr>
                <w:sz w:val="22"/>
                <w:szCs w:val="22"/>
              </w:rPr>
              <w:t>erform an immediate blood test.</w:t>
            </w:r>
            <w:r>
              <w:rPr>
                <w:sz w:val="22"/>
                <w:szCs w:val="22"/>
              </w:rPr>
              <w:t xml:space="preserve"> </w:t>
            </w:r>
            <w:r w:rsidRPr="00CD374A">
              <w:rPr>
                <w:sz w:val="22"/>
                <w:szCs w:val="22"/>
              </w:rPr>
              <w:t xml:space="preserve">If any of the following occur, </w:t>
            </w:r>
            <w:r w:rsidRPr="00CD374A">
              <w:rPr>
                <w:b/>
                <w:sz w:val="22"/>
                <w:szCs w:val="22"/>
              </w:rPr>
              <w:t>stop treatment</w:t>
            </w:r>
            <w:r w:rsidRPr="00CD374A">
              <w:rPr>
                <w:sz w:val="22"/>
                <w:szCs w:val="22"/>
              </w:rPr>
              <w:t xml:space="preserve"> and contact the hospital specialist:</w:t>
            </w:r>
          </w:p>
          <w:p w14:paraId="49877988" w14:textId="77777777" w:rsidR="008A4BD0" w:rsidRPr="00702255" w:rsidRDefault="008A4BD0" w:rsidP="00094335">
            <w:pPr>
              <w:rPr>
                <w:sz w:val="22"/>
                <w:szCs w:val="22"/>
              </w:rPr>
            </w:pPr>
            <w:r w:rsidRPr="00396947">
              <w:rPr>
                <w:sz w:val="22"/>
                <w:szCs w:val="22"/>
              </w:rPr>
              <w:t>WCC           &lt;3.5</w:t>
            </w:r>
            <w:r>
              <w:rPr>
                <w:sz w:val="22"/>
                <w:szCs w:val="22"/>
              </w:rPr>
              <w:t xml:space="preserve"> 10</w:t>
            </w:r>
            <w:r>
              <w:rPr>
                <w:sz w:val="22"/>
                <w:szCs w:val="22"/>
                <w:vertAlign w:val="superscript"/>
              </w:rPr>
              <w:t>9/</w:t>
            </w:r>
            <w:r>
              <w:rPr>
                <w:sz w:val="22"/>
                <w:szCs w:val="22"/>
              </w:rPr>
              <w:t>L</w:t>
            </w:r>
            <w:r>
              <w:t xml:space="preserve"> </w:t>
            </w:r>
            <w:r w:rsidRPr="00FF16AE">
              <w:rPr>
                <w:sz w:val="22"/>
                <w:szCs w:val="22"/>
              </w:rPr>
              <w:t xml:space="preserve">or </w:t>
            </w:r>
            <w:r>
              <w:rPr>
                <w:sz w:val="22"/>
                <w:szCs w:val="22"/>
              </w:rPr>
              <w:t xml:space="preserve">below </w:t>
            </w:r>
            <w:r w:rsidRPr="00FF16AE">
              <w:rPr>
                <w:sz w:val="22"/>
                <w:szCs w:val="22"/>
              </w:rPr>
              <w:t>local normal range</w:t>
            </w:r>
          </w:p>
          <w:p w14:paraId="6D4E4526" w14:textId="77777777" w:rsidR="008A4BD0" w:rsidRPr="00702255" w:rsidRDefault="008A4BD0" w:rsidP="00094335">
            <w:pPr>
              <w:rPr>
                <w:sz w:val="22"/>
                <w:szCs w:val="22"/>
              </w:rPr>
            </w:pPr>
            <w:r w:rsidRPr="00396947">
              <w:rPr>
                <w:sz w:val="22"/>
                <w:szCs w:val="22"/>
              </w:rPr>
              <w:t>Neutrophils &lt; 2.0</w:t>
            </w:r>
            <w:r>
              <w:rPr>
                <w:sz w:val="22"/>
                <w:szCs w:val="22"/>
              </w:rPr>
              <w:t xml:space="preserve"> 10</w:t>
            </w:r>
            <w:r>
              <w:rPr>
                <w:sz w:val="22"/>
                <w:szCs w:val="22"/>
                <w:vertAlign w:val="superscript"/>
              </w:rPr>
              <w:t>9/</w:t>
            </w:r>
            <w:r>
              <w:rPr>
                <w:sz w:val="22"/>
                <w:szCs w:val="22"/>
              </w:rPr>
              <w:t>L</w:t>
            </w:r>
            <w:r>
              <w:t xml:space="preserve"> </w:t>
            </w:r>
            <w:r w:rsidRPr="00FF16AE">
              <w:rPr>
                <w:sz w:val="22"/>
                <w:szCs w:val="22"/>
              </w:rPr>
              <w:t xml:space="preserve">or </w:t>
            </w:r>
            <w:r>
              <w:rPr>
                <w:sz w:val="22"/>
                <w:szCs w:val="22"/>
              </w:rPr>
              <w:t xml:space="preserve">below </w:t>
            </w:r>
            <w:r w:rsidRPr="00FF16AE">
              <w:rPr>
                <w:sz w:val="22"/>
                <w:szCs w:val="22"/>
              </w:rPr>
              <w:t>local normal range</w:t>
            </w:r>
          </w:p>
          <w:p w14:paraId="6EBFAE79" w14:textId="77777777" w:rsidR="008A4BD0" w:rsidRPr="00396947" w:rsidRDefault="008A4BD0" w:rsidP="00094335">
            <w:pPr>
              <w:rPr>
                <w:sz w:val="22"/>
                <w:szCs w:val="22"/>
              </w:rPr>
            </w:pPr>
            <w:r w:rsidRPr="00396947">
              <w:rPr>
                <w:sz w:val="22"/>
                <w:szCs w:val="22"/>
              </w:rPr>
              <w:t>Platelets      &lt;150</w:t>
            </w:r>
            <w:r>
              <w:rPr>
                <w:sz w:val="22"/>
                <w:szCs w:val="22"/>
              </w:rPr>
              <w:t xml:space="preserve"> 10</w:t>
            </w:r>
            <w:r>
              <w:rPr>
                <w:sz w:val="22"/>
                <w:szCs w:val="22"/>
                <w:vertAlign w:val="superscript"/>
              </w:rPr>
              <w:t>9/</w:t>
            </w:r>
            <w:r>
              <w:rPr>
                <w:sz w:val="22"/>
                <w:szCs w:val="22"/>
              </w:rPr>
              <w:t>L</w:t>
            </w:r>
            <w:r>
              <w:t xml:space="preserve"> </w:t>
            </w:r>
            <w:r w:rsidRPr="00FF16AE">
              <w:rPr>
                <w:sz w:val="22"/>
                <w:szCs w:val="22"/>
              </w:rPr>
              <w:t xml:space="preserve">or </w:t>
            </w:r>
            <w:r>
              <w:rPr>
                <w:sz w:val="22"/>
                <w:szCs w:val="22"/>
              </w:rPr>
              <w:t xml:space="preserve">below </w:t>
            </w:r>
            <w:r w:rsidRPr="00FF16AE">
              <w:rPr>
                <w:sz w:val="22"/>
                <w:szCs w:val="22"/>
              </w:rPr>
              <w:t>local normal range</w:t>
            </w:r>
          </w:p>
          <w:p w14:paraId="4A9558E9" w14:textId="77777777" w:rsidR="008A4BD0" w:rsidRPr="00730760" w:rsidRDefault="008A4BD0" w:rsidP="00094335">
            <w:pPr>
              <w:overflowPunct/>
              <w:autoSpaceDE/>
              <w:autoSpaceDN/>
              <w:adjustRightInd/>
              <w:textAlignment w:val="auto"/>
              <w:rPr>
                <w:sz w:val="22"/>
                <w:szCs w:val="22"/>
              </w:rPr>
            </w:pPr>
            <w:r w:rsidRPr="00CD374A">
              <w:rPr>
                <w:sz w:val="22"/>
                <w:szCs w:val="22"/>
              </w:rPr>
              <w:t>Proteinuria/Blood</w:t>
            </w:r>
            <w:r>
              <w:rPr>
                <w:sz w:val="22"/>
                <w:szCs w:val="22"/>
              </w:rPr>
              <w:t xml:space="preserve"> </w:t>
            </w:r>
            <w:r w:rsidRPr="00CD374A">
              <w:rPr>
                <w:sz w:val="22"/>
                <w:szCs w:val="22"/>
              </w:rPr>
              <w:t>&gt;1+ (Where protein is detected do MSU and if negative perform a</w:t>
            </w:r>
            <w:r>
              <w:rPr>
                <w:sz w:val="22"/>
                <w:szCs w:val="22"/>
              </w:rPr>
              <w:t xml:space="preserve"> urine PCI / PCR (or</w:t>
            </w:r>
            <w:r w:rsidRPr="00CD374A">
              <w:rPr>
                <w:sz w:val="22"/>
                <w:szCs w:val="22"/>
              </w:rPr>
              <w:t xml:space="preserve"> 24 hour urine collection for protein and creatinine clearance). </w:t>
            </w:r>
            <w:r w:rsidRPr="00CD374A">
              <w:rPr>
                <w:sz w:val="22"/>
                <w:szCs w:val="22"/>
                <w:u w:val="single"/>
              </w:rPr>
              <w:t>If blood tests are normal despite the above symptoms, stop treatment for 1-2 weeks (until symptoms disappear) and consider re-challenge with test dose (consult hospital specialist)</w:t>
            </w:r>
            <w:r>
              <w:rPr>
                <w:sz w:val="22"/>
                <w:szCs w:val="22"/>
                <w:u w:val="single"/>
              </w:rPr>
              <w:t>.</w:t>
            </w:r>
          </w:p>
        </w:tc>
      </w:tr>
      <w:tr w:rsidR="008A4BD0" w:rsidRPr="00132FB9" w14:paraId="51EE8110" w14:textId="77777777" w:rsidTr="00094335">
        <w:tc>
          <w:tcPr>
            <w:tcW w:w="3240" w:type="dxa"/>
            <w:shd w:val="clear" w:color="auto" w:fill="CCFFFF"/>
          </w:tcPr>
          <w:p w14:paraId="09870CD9" w14:textId="77777777" w:rsidR="008A4BD0" w:rsidRPr="00730760" w:rsidRDefault="008A4BD0" w:rsidP="00094335">
            <w:pPr>
              <w:rPr>
                <w:color w:val="FF0000"/>
              </w:rPr>
            </w:pPr>
            <w:r>
              <w:t>Assessment of Response:</w:t>
            </w:r>
          </w:p>
        </w:tc>
        <w:tc>
          <w:tcPr>
            <w:tcW w:w="7200" w:type="dxa"/>
            <w:shd w:val="clear" w:color="auto" w:fill="auto"/>
          </w:tcPr>
          <w:p w14:paraId="1D048852" w14:textId="77777777" w:rsidR="008A4BD0" w:rsidRPr="00132FB9" w:rsidRDefault="008A4BD0" w:rsidP="00094335">
            <w:pPr>
              <w:overflowPunct/>
              <w:autoSpaceDE/>
              <w:autoSpaceDN/>
              <w:adjustRightInd/>
              <w:textAlignment w:val="auto"/>
              <w:rPr>
                <w:color w:val="FF0000"/>
                <w:szCs w:val="24"/>
              </w:rPr>
            </w:pPr>
            <w:r w:rsidRPr="00132FB9">
              <w:rPr>
                <w:szCs w:val="24"/>
              </w:rPr>
              <w:t xml:space="preserve">If after reaching a total dose of 1g (excluding test dose), no major improvement has occurred the Specialist will </w:t>
            </w:r>
            <w:r>
              <w:rPr>
                <w:szCs w:val="24"/>
              </w:rPr>
              <w:t xml:space="preserve">usually </w:t>
            </w:r>
            <w:r w:rsidRPr="00132FB9">
              <w:rPr>
                <w:szCs w:val="24"/>
              </w:rPr>
              <w:t>discontinue therapy.</w:t>
            </w:r>
          </w:p>
        </w:tc>
      </w:tr>
      <w:tr w:rsidR="008A4BD0" w:rsidRPr="00BF700B" w14:paraId="59AEDB2F" w14:textId="77777777" w:rsidTr="00094335">
        <w:trPr>
          <w:trHeight w:val="439"/>
        </w:trPr>
        <w:tc>
          <w:tcPr>
            <w:tcW w:w="3240" w:type="dxa"/>
            <w:shd w:val="clear" w:color="auto" w:fill="CCFFFF"/>
          </w:tcPr>
          <w:p w14:paraId="45DA2365" w14:textId="77777777" w:rsidR="008A4BD0" w:rsidRDefault="008A4BD0" w:rsidP="00094335">
            <w:r>
              <w:t>Additional information:</w:t>
            </w:r>
          </w:p>
        </w:tc>
        <w:tc>
          <w:tcPr>
            <w:tcW w:w="7200" w:type="dxa"/>
            <w:shd w:val="clear" w:color="auto" w:fill="auto"/>
          </w:tcPr>
          <w:p w14:paraId="5C8CB8B3" w14:textId="77777777" w:rsidR="008A4BD0" w:rsidRDefault="008A4BD0" w:rsidP="00094335">
            <w:pPr>
              <w:overflowPunct/>
              <w:textAlignment w:val="auto"/>
              <w:rPr>
                <w:sz w:val="22"/>
                <w:szCs w:val="22"/>
              </w:rPr>
            </w:pPr>
            <w:r>
              <w:rPr>
                <w:sz w:val="22"/>
                <w:szCs w:val="22"/>
              </w:rPr>
              <w:t xml:space="preserve">Contra-indicated - </w:t>
            </w:r>
            <w:r w:rsidRPr="00730760">
              <w:rPr>
                <w:sz w:val="22"/>
                <w:szCs w:val="22"/>
              </w:rPr>
              <w:t>Gross renal or hepatic disease</w:t>
            </w:r>
            <w:r>
              <w:rPr>
                <w:sz w:val="22"/>
                <w:szCs w:val="22"/>
              </w:rPr>
              <w:t>, h</w:t>
            </w:r>
            <w:r w:rsidRPr="00730760">
              <w:rPr>
                <w:sz w:val="22"/>
                <w:szCs w:val="22"/>
              </w:rPr>
              <w:t>istory of blood dyscrasias</w:t>
            </w:r>
            <w:r>
              <w:rPr>
                <w:sz w:val="22"/>
                <w:szCs w:val="22"/>
              </w:rPr>
              <w:t>, e</w:t>
            </w:r>
            <w:r w:rsidRPr="00730760">
              <w:rPr>
                <w:sz w:val="22"/>
                <w:szCs w:val="22"/>
              </w:rPr>
              <w:t>xfoliative dermatitis</w:t>
            </w:r>
            <w:r>
              <w:rPr>
                <w:sz w:val="22"/>
                <w:szCs w:val="22"/>
              </w:rPr>
              <w:t xml:space="preserve"> and s</w:t>
            </w:r>
            <w:r w:rsidRPr="00730760">
              <w:rPr>
                <w:sz w:val="22"/>
                <w:szCs w:val="22"/>
              </w:rPr>
              <w:t>ystemic lupus erythematosus</w:t>
            </w:r>
            <w:r>
              <w:rPr>
                <w:sz w:val="22"/>
                <w:szCs w:val="22"/>
              </w:rPr>
              <w:t xml:space="preserve"> (SLE).</w:t>
            </w:r>
          </w:p>
          <w:p w14:paraId="1D969128" w14:textId="77777777" w:rsidR="008A4BD0" w:rsidRDefault="008A4BD0" w:rsidP="00094335">
            <w:pPr>
              <w:overflowPunct/>
              <w:textAlignment w:val="auto"/>
              <w:rPr>
                <w:sz w:val="22"/>
                <w:szCs w:val="22"/>
                <w:u w:val="single"/>
              </w:rPr>
            </w:pPr>
            <w:r w:rsidRPr="00BF700B">
              <w:rPr>
                <w:sz w:val="22"/>
                <w:szCs w:val="22"/>
                <w:u w:val="single"/>
              </w:rPr>
              <w:t>Important drug reactions:</w:t>
            </w:r>
          </w:p>
          <w:p w14:paraId="344B751D" w14:textId="77777777" w:rsidR="008A4BD0" w:rsidRPr="00730760" w:rsidRDefault="008A4BD0" w:rsidP="008A4BD0">
            <w:pPr>
              <w:numPr>
                <w:ilvl w:val="0"/>
                <w:numId w:val="6"/>
              </w:numPr>
              <w:overflowPunct/>
              <w:autoSpaceDE/>
              <w:autoSpaceDN/>
              <w:adjustRightInd/>
              <w:textAlignment w:val="auto"/>
              <w:rPr>
                <w:sz w:val="22"/>
                <w:szCs w:val="22"/>
              </w:rPr>
            </w:pPr>
            <w:r w:rsidRPr="00730760">
              <w:rPr>
                <w:sz w:val="22"/>
                <w:szCs w:val="22"/>
              </w:rPr>
              <w:t>Penicillamine (increased risk of rashes and bone marrow depression)</w:t>
            </w:r>
          </w:p>
          <w:p w14:paraId="4DD89B3F" w14:textId="77777777" w:rsidR="008A4BD0" w:rsidRPr="00730760" w:rsidRDefault="008A4BD0" w:rsidP="008A4BD0">
            <w:pPr>
              <w:numPr>
                <w:ilvl w:val="0"/>
                <w:numId w:val="6"/>
              </w:numPr>
              <w:overflowPunct/>
              <w:autoSpaceDE/>
              <w:autoSpaceDN/>
              <w:adjustRightInd/>
              <w:textAlignment w:val="auto"/>
              <w:rPr>
                <w:sz w:val="22"/>
                <w:szCs w:val="22"/>
              </w:rPr>
            </w:pPr>
            <w:r w:rsidRPr="00730760">
              <w:rPr>
                <w:sz w:val="22"/>
                <w:szCs w:val="22"/>
              </w:rPr>
              <w:t>Aspirin (increased risk of aspirin-induced hepatic dysfunction)</w:t>
            </w:r>
          </w:p>
          <w:p w14:paraId="09C8A532" w14:textId="77777777" w:rsidR="008A4BD0" w:rsidRPr="00730760" w:rsidRDefault="008A4BD0" w:rsidP="008A4BD0">
            <w:pPr>
              <w:numPr>
                <w:ilvl w:val="0"/>
                <w:numId w:val="6"/>
              </w:numPr>
              <w:overflowPunct/>
              <w:autoSpaceDE/>
              <w:autoSpaceDN/>
              <w:adjustRightInd/>
              <w:textAlignment w:val="auto"/>
              <w:rPr>
                <w:sz w:val="22"/>
                <w:szCs w:val="22"/>
              </w:rPr>
            </w:pPr>
            <w:r w:rsidRPr="00730760">
              <w:rPr>
                <w:sz w:val="22"/>
                <w:szCs w:val="22"/>
              </w:rPr>
              <w:t>ACE inhibitors (increased risk of severe anaphylactoid reactions)</w:t>
            </w:r>
          </w:p>
          <w:p w14:paraId="71761274" w14:textId="77777777" w:rsidR="008A4BD0" w:rsidRPr="00BF700B" w:rsidRDefault="008A4BD0" w:rsidP="008A4BD0">
            <w:pPr>
              <w:numPr>
                <w:ilvl w:val="0"/>
                <w:numId w:val="6"/>
              </w:numPr>
              <w:overflowPunct/>
              <w:textAlignment w:val="auto"/>
              <w:rPr>
                <w:sz w:val="22"/>
                <w:szCs w:val="22"/>
                <w:u w:val="single"/>
              </w:rPr>
            </w:pPr>
            <w:r w:rsidRPr="00730760">
              <w:rPr>
                <w:sz w:val="22"/>
                <w:szCs w:val="22"/>
              </w:rPr>
              <w:t>Phenylbutazone or oxyphenbutazone (use with caution)</w:t>
            </w:r>
          </w:p>
        </w:tc>
      </w:tr>
      <w:tr w:rsidR="008A4BD0" w:rsidRPr="00730760" w14:paraId="150DAEAB" w14:textId="77777777" w:rsidTr="00094335">
        <w:tc>
          <w:tcPr>
            <w:tcW w:w="3240" w:type="dxa"/>
            <w:shd w:val="clear" w:color="auto" w:fill="CCFFFF"/>
          </w:tcPr>
          <w:p w14:paraId="241B7B68" w14:textId="77777777" w:rsidR="008A4BD0" w:rsidRDefault="008A4BD0" w:rsidP="00094335">
            <w:r>
              <w:t>Pregnancy &amp; Breastfeeding:</w:t>
            </w:r>
          </w:p>
        </w:tc>
        <w:tc>
          <w:tcPr>
            <w:tcW w:w="7200" w:type="dxa"/>
            <w:shd w:val="clear" w:color="auto" w:fill="auto"/>
          </w:tcPr>
          <w:p w14:paraId="4D5A1CBF" w14:textId="77777777" w:rsidR="008A4BD0" w:rsidRPr="00730760" w:rsidRDefault="008A4BD0" w:rsidP="00094335">
            <w:pPr>
              <w:rPr>
                <w:sz w:val="22"/>
                <w:szCs w:val="22"/>
              </w:rPr>
            </w:pPr>
            <w:r w:rsidRPr="00730760">
              <w:rPr>
                <w:sz w:val="22"/>
                <w:szCs w:val="22"/>
              </w:rPr>
              <w:t>Avoid in pregnancy and breastfeeding as safety has not been established.</w:t>
            </w:r>
          </w:p>
        </w:tc>
      </w:tr>
      <w:tr w:rsidR="008A4BD0" w:rsidRPr="00FD1A92" w14:paraId="7CD0DC36" w14:textId="77777777" w:rsidTr="00094335">
        <w:tc>
          <w:tcPr>
            <w:tcW w:w="10440" w:type="dxa"/>
            <w:gridSpan w:val="2"/>
            <w:shd w:val="clear" w:color="auto" w:fill="auto"/>
          </w:tcPr>
          <w:p w14:paraId="48F2A372" w14:textId="77777777" w:rsidR="008A4BD0" w:rsidRPr="00730760" w:rsidRDefault="008A4BD0" w:rsidP="00094335">
            <w:pPr>
              <w:rPr>
                <w:sz w:val="20"/>
              </w:rPr>
            </w:pPr>
            <w:r w:rsidRPr="00730760">
              <w:rPr>
                <w:sz w:val="20"/>
              </w:rPr>
              <w:t>Please refer to licensed datasheet for more comprehensive prescribing information:</w:t>
            </w:r>
          </w:p>
          <w:p w14:paraId="1F7537A4" w14:textId="77777777" w:rsidR="008A4BD0" w:rsidRDefault="00323D19" w:rsidP="00094335">
            <w:pPr>
              <w:rPr>
                <w:color w:val="FF0000"/>
                <w:sz w:val="16"/>
                <w:szCs w:val="16"/>
              </w:rPr>
            </w:pPr>
            <w:hyperlink r:id="rId11" w:history="1">
              <w:r w:rsidR="008A4BD0" w:rsidRPr="00FD1A92">
                <w:rPr>
                  <w:rStyle w:val="Hyperlink"/>
                </w:rPr>
                <w:t>http://www.medicines.org.uk/EMC/medicine/18613/SPC/Myocrisin+100mg+ml+Solution+for+Injection/</w:t>
              </w:r>
            </w:hyperlink>
          </w:p>
          <w:p w14:paraId="6EE43F47" w14:textId="77777777" w:rsidR="008A4BD0" w:rsidRDefault="008A4BD0" w:rsidP="00094335">
            <w:pPr>
              <w:rPr>
                <w:color w:val="FF0000"/>
                <w:sz w:val="16"/>
                <w:szCs w:val="16"/>
              </w:rPr>
            </w:pPr>
          </w:p>
          <w:p w14:paraId="05749933" w14:textId="739CF80E" w:rsidR="008A4BD0" w:rsidRDefault="008A4BD0" w:rsidP="00094335">
            <w:pPr>
              <w:rPr>
                <w:color w:val="FF0000"/>
                <w:sz w:val="16"/>
                <w:szCs w:val="16"/>
              </w:rPr>
            </w:pPr>
          </w:p>
          <w:p w14:paraId="6525F911" w14:textId="77777777" w:rsidR="008A4BD0" w:rsidRPr="00FD1A92" w:rsidRDefault="008A4BD0" w:rsidP="00094335">
            <w:pPr>
              <w:rPr>
                <w:color w:val="FF0000"/>
                <w:sz w:val="16"/>
                <w:szCs w:val="16"/>
              </w:rPr>
            </w:pPr>
          </w:p>
        </w:tc>
      </w:tr>
    </w:tbl>
    <w:p w14:paraId="7EBC3663" w14:textId="77777777" w:rsidR="008A4BD0" w:rsidRDefault="008A4BD0" w:rsidP="00883346">
      <w:pPr>
        <w:rPr>
          <w:b/>
        </w:rPr>
      </w:pPr>
    </w:p>
    <w:p w14:paraId="5C0CD0A0" w14:textId="77777777" w:rsidR="00883346" w:rsidRDefault="00883346" w:rsidP="007F47FF"/>
    <w:p w14:paraId="04D0E92B" w14:textId="77777777" w:rsidR="007F47FF" w:rsidRDefault="007F47FF" w:rsidP="007F47FF"/>
    <w:p w14:paraId="2C1FE444" w14:textId="30B0AC5B" w:rsidR="00A37EB9" w:rsidRDefault="001113B5" w:rsidP="008A4BD0">
      <w:pPr>
        <w:pStyle w:val="Heading2"/>
      </w:pPr>
      <w:bookmarkStart w:id="9" w:name="_Toc531873923"/>
      <w:r w:rsidRPr="00730760">
        <w:t>Hydroxychloroquine</w:t>
      </w:r>
      <w:bookmarkEnd w:id="9"/>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8A4BD0" w:rsidRPr="00730760" w14:paraId="5CCCC963" w14:textId="77777777" w:rsidTr="00094335">
        <w:tc>
          <w:tcPr>
            <w:tcW w:w="3240" w:type="dxa"/>
            <w:shd w:val="clear" w:color="auto" w:fill="CCFFFF"/>
          </w:tcPr>
          <w:p w14:paraId="0CAA3267" w14:textId="77777777" w:rsidR="008A4BD0" w:rsidRDefault="008A4BD0" w:rsidP="00094335">
            <w:r>
              <w:t>Dose:</w:t>
            </w:r>
          </w:p>
        </w:tc>
        <w:tc>
          <w:tcPr>
            <w:tcW w:w="7200" w:type="dxa"/>
            <w:shd w:val="clear" w:color="auto" w:fill="auto"/>
          </w:tcPr>
          <w:p w14:paraId="5770287E" w14:textId="7B502549" w:rsidR="007A4069" w:rsidRDefault="00FD7634" w:rsidP="007A4069">
            <w:pPr>
              <w:rPr>
                <w:color w:val="000000"/>
                <w:sz w:val="22"/>
                <w:szCs w:val="22"/>
                <w:shd w:val="clear" w:color="auto" w:fill="FFFFFF"/>
              </w:rPr>
            </w:pPr>
            <w:r>
              <w:rPr>
                <w:color w:val="000000"/>
                <w:sz w:val="22"/>
                <w:szCs w:val="22"/>
                <w:shd w:val="clear" w:color="auto" w:fill="FFFFFF"/>
              </w:rPr>
              <w:t>Considered for t</w:t>
            </w:r>
            <w:r w:rsidR="008A4BD0" w:rsidRPr="006713E8">
              <w:rPr>
                <w:color w:val="000000"/>
                <w:sz w:val="22"/>
                <w:szCs w:val="22"/>
                <w:shd w:val="clear" w:color="auto" w:fill="FFFFFF"/>
              </w:rPr>
              <w:t>reatment of rheumatoid arthritis,</w:t>
            </w:r>
            <w:r w:rsidR="008A4BD0">
              <w:rPr>
                <w:color w:val="000000"/>
                <w:sz w:val="22"/>
                <w:szCs w:val="22"/>
                <w:shd w:val="clear" w:color="auto" w:fill="FFFFFF"/>
              </w:rPr>
              <w:t xml:space="preserve"> juvenile idiopathic arthritis, </w:t>
            </w:r>
            <w:r w:rsidR="007A4069">
              <w:rPr>
                <w:color w:val="000000"/>
                <w:sz w:val="22"/>
                <w:szCs w:val="22"/>
                <w:shd w:val="clear" w:color="auto" w:fill="FFFFFF"/>
              </w:rPr>
              <w:t>systemic lupus erythematosus</w:t>
            </w:r>
            <w:r>
              <w:rPr>
                <w:color w:val="000000"/>
                <w:sz w:val="22"/>
                <w:szCs w:val="22"/>
                <w:shd w:val="clear" w:color="auto" w:fill="FFFFFF"/>
              </w:rPr>
              <w:t xml:space="preserve"> and other CTDs</w:t>
            </w:r>
          </w:p>
          <w:p w14:paraId="07D3A0CF" w14:textId="4D4D9F67" w:rsidR="008A4BD0" w:rsidRPr="00730760" w:rsidRDefault="008A4BD0" w:rsidP="007A4069">
            <w:pPr>
              <w:rPr>
                <w:color w:val="FF0000"/>
                <w:sz w:val="22"/>
                <w:szCs w:val="22"/>
              </w:rPr>
            </w:pPr>
            <w:r w:rsidRPr="00730760">
              <w:rPr>
                <w:sz w:val="22"/>
                <w:szCs w:val="22"/>
              </w:rPr>
              <w:t xml:space="preserve">Usually started at a dose of 200mg bd for the first 3 months and then reduced to 200mg daily as a maintenance dose if effective </w:t>
            </w:r>
            <w:r>
              <w:rPr>
                <w:sz w:val="22"/>
                <w:szCs w:val="22"/>
              </w:rPr>
              <w:t xml:space="preserve">(aim for 3-5mg/kg/day using </w:t>
            </w:r>
            <w:r w:rsidR="007A4069">
              <w:rPr>
                <w:sz w:val="22"/>
                <w:szCs w:val="22"/>
              </w:rPr>
              <w:t>ideal bodyweight especially where patients are</w:t>
            </w:r>
            <w:r>
              <w:rPr>
                <w:sz w:val="22"/>
                <w:szCs w:val="22"/>
              </w:rPr>
              <w:t xml:space="preserve"> obese)</w:t>
            </w:r>
          </w:p>
        </w:tc>
      </w:tr>
      <w:tr w:rsidR="008A4BD0" w:rsidRPr="00730760" w14:paraId="689D8A48" w14:textId="77777777" w:rsidTr="00094335">
        <w:tc>
          <w:tcPr>
            <w:tcW w:w="3240" w:type="dxa"/>
            <w:shd w:val="clear" w:color="auto" w:fill="CCFFFF"/>
          </w:tcPr>
          <w:p w14:paraId="3756D0E7" w14:textId="77777777" w:rsidR="008A4BD0" w:rsidRDefault="008A4BD0" w:rsidP="00094335">
            <w:r>
              <w:t>Baseline tests:</w:t>
            </w:r>
          </w:p>
        </w:tc>
        <w:tc>
          <w:tcPr>
            <w:tcW w:w="7200" w:type="dxa"/>
            <w:shd w:val="clear" w:color="auto" w:fill="auto"/>
          </w:tcPr>
          <w:p w14:paraId="18990403" w14:textId="14082887" w:rsidR="008A4BD0" w:rsidRPr="00730760" w:rsidRDefault="007A4069" w:rsidP="00094335">
            <w:pPr>
              <w:rPr>
                <w:sz w:val="22"/>
                <w:szCs w:val="22"/>
              </w:rPr>
            </w:pPr>
            <w:r>
              <w:rPr>
                <w:sz w:val="22"/>
                <w:szCs w:val="22"/>
              </w:rPr>
              <w:t>Baseline blood/urine monitoring test:</w:t>
            </w:r>
          </w:p>
          <w:p w14:paraId="413BB59D" w14:textId="77777777" w:rsidR="008A4BD0" w:rsidRPr="00730760" w:rsidRDefault="008A4BD0" w:rsidP="008A4BD0">
            <w:pPr>
              <w:numPr>
                <w:ilvl w:val="0"/>
                <w:numId w:val="4"/>
              </w:numPr>
              <w:overflowPunct/>
              <w:autoSpaceDE/>
              <w:autoSpaceDN/>
              <w:adjustRightInd/>
              <w:textAlignment w:val="auto"/>
              <w:rPr>
                <w:sz w:val="22"/>
                <w:szCs w:val="22"/>
              </w:rPr>
            </w:pPr>
            <w:r w:rsidRPr="00730760">
              <w:rPr>
                <w:sz w:val="22"/>
                <w:szCs w:val="22"/>
              </w:rPr>
              <w:t>FBC/U&amp;E/LFT</w:t>
            </w:r>
          </w:p>
          <w:p w14:paraId="2AB32FAA" w14:textId="0C8912B7" w:rsidR="008A4BD0" w:rsidRPr="00AA04AE" w:rsidRDefault="007A4069" w:rsidP="008A4BD0">
            <w:pPr>
              <w:numPr>
                <w:ilvl w:val="0"/>
                <w:numId w:val="4"/>
              </w:numPr>
              <w:overflowPunct/>
              <w:autoSpaceDE/>
              <w:autoSpaceDN/>
              <w:adjustRightInd/>
              <w:textAlignment w:val="auto"/>
            </w:pPr>
            <w:r>
              <w:rPr>
                <w:sz w:val="22"/>
                <w:szCs w:val="22"/>
              </w:rPr>
              <w:t>Initial o</w:t>
            </w:r>
            <w:r w:rsidR="008A4BD0" w:rsidRPr="00730760">
              <w:rPr>
                <w:sz w:val="22"/>
                <w:szCs w:val="22"/>
              </w:rPr>
              <w:t>phthalmological screening</w:t>
            </w:r>
            <w:r w:rsidR="00AD05CE">
              <w:rPr>
                <w:sz w:val="22"/>
                <w:szCs w:val="22"/>
              </w:rPr>
              <w:t xml:space="preserve"> (OCT and Humphrey field testing) is</w:t>
            </w:r>
            <w:r w:rsidR="008A4BD0" w:rsidRPr="00730760">
              <w:rPr>
                <w:sz w:val="22"/>
                <w:szCs w:val="22"/>
              </w:rPr>
              <w:t xml:space="preserve"> recommended</w:t>
            </w:r>
            <w:r>
              <w:rPr>
                <w:sz w:val="22"/>
                <w:szCs w:val="22"/>
              </w:rPr>
              <w:t xml:space="preserve">, especially </w:t>
            </w:r>
            <w:r w:rsidR="008A4BD0" w:rsidRPr="00730760">
              <w:rPr>
                <w:sz w:val="22"/>
                <w:szCs w:val="22"/>
              </w:rPr>
              <w:t>if</w:t>
            </w:r>
            <w:r>
              <w:rPr>
                <w:sz w:val="22"/>
                <w:szCs w:val="22"/>
              </w:rPr>
              <w:t xml:space="preserve"> any</w:t>
            </w:r>
            <w:r w:rsidR="00AD05CE">
              <w:rPr>
                <w:sz w:val="22"/>
                <w:szCs w:val="22"/>
              </w:rPr>
              <w:t xml:space="preserve"> pre-existing ocular pathology</w:t>
            </w:r>
            <w:r w:rsidR="008A4BD0">
              <w:rPr>
                <w:sz w:val="22"/>
                <w:szCs w:val="22"/>
              </w:rPr>
              <w:t xml:space="preserve"> </w:t>
            </w:r>
            <w:r>
              <w:rPr>
                <w:sz w:val="22"/>
                <w:szCs w:val="22"/>
              </w:rPr>
              <w:t xml:space="preserve">or </w:t>
            </w:r>
            <w:r w:rsidR="00AD05CE">
              <w:rPr>
                <w:sz w:val="22"/>
                <w:szCs w:val="22"/>
              </w:rPr>
              <w:t xml:space="preserve">a </w:t>
            </w:r>
            <w:r>
              <w:rPr>
                <w:sz w:val="22"/>
                <w:szCs w:val="22"/>
              </w:rPr>
              <w:t>known</w:t>
            </w:r>
            <w:r w:rsidR="008A4BD0">
              <w:rPr>
                <w:sz w:val="22"/>
                <w:szCs w:val="22"/>
              </w:rPr>
              <w:t xml:space="preserve"> retinal condition</w:t>
            </w:r>
          </w:p>
          <w:p w14:paraId="2CB809DC" w14:textId="5714CE1D" w:rsidR="00AD05CE" w:rsidRDefault="00AD05CE" w:rsidP="00094335">
            <w:pPr>
              <w:rPr>
                <w:sz w:val="22"/>
                <w:szCs w:val="22"/>
              </w:rPr>
            </w:pPr>
            <w:r>
              <w:rPr>
                <w:sz w:val="22"/>
                <w:szCs w:val="22"/>
              </w:rPr>
              <w:t>Not generally recommended where pre-existing</w:t>
            </w:r>
            <w:r w:rsidRPr="00730760">
              <w:rPr>
                <w:rFonts w:cs="Arial"/>
                <w:sz w:val="22"/>
                <w:szCs w:val="22"/>
              </w:rPr>
              <w:t xml:space="preserve"> maculopathy.</w:t>
            </w:r>
          </w:p>
          <w:p w14:paraId="0538A1A2" w14:textId="16480A6E" w:rsidR="008A4BD0" w:rsidRPr="00730760" w:rsidRDefault="00AD05CE" w:rsidP="00AD05CE">
            <w:pPr>
              <w:rPr>
                <w:color w:val="FF0000"/>
                <w:sz w:val="22"/>
                <w:szCs w:val="22"/>
              </w:rPr>
            </w:pPr>
            <w:r>
              <w:rPr>
                <w:sz w:val="22"/>
                <w:szCs w:val="22"/>
              </w:rPr>
              <w:t>Caution in i</w:t>
            </w:r>
            <w:r w:rsidR="008A4BD0" w:rsidRPr="00730760">
              <w:rPr>
                <w:sz w:val="22"/>
                <w:szCs w:val="22"/>
              </w:rPr>
              <w:t>mpaired rena</w:t>
            </w:r>
            <w:r w:rsidR="008A4BD0">
              <w:rPr>
                <w:sz w:val="22"/>
                <w:szCs w:val="22"/>
              </w:rPr>
              <w:t xml:space="preserve">l function </w:t>
            </w:r>
            <w:r>
              <w:rPr>
                <w:sz w:val="22"/>
                <w:szCs w:val="22"/>
              </w:rPr>
              <w:t xml:space="preserve">(CrCl &lt;20) </w:t>
            </w:r>
          </w:p>
        </w:tc>
      </w:tr>
      <w:tr w:rsidR="008A4BD0" w:rsidRPr="00730760" w14:paraId="6CEC36AC" w14:textId="77777777" w:rsidTr="00094335">
        <w:tc>
          <w:tcPr>
            <w:tcW w:w="3240" w:type="dxa"/>
            <w:shd w:val="clear" w:color="auto" w:fill="CCFFFF"/>
          </w:tcPr>
          <w:p w14:paraId="7ECEE277" w14:textId="77777777" w:rsidR="008A4BD0" w:rsidRDefault="008A4BD0" w:rsidP="00094335">
            <w:r>
              <w:t>Routine monitoring:</w:t>
            </w:r>
          </w:p>
        </w:tc>
        <w:tc>
          <w:tcPr>
            <w:tcW w:w="7200" w:type="dxa"/>
            <w:tcBorders>
              <w:bottom w:val="single" w:sz="4" w:space="0" w:color="auto"/>
            </w:tcBorders>
            <w:shd w:val="clear" w:color="auto" w:fill="auto"/>
          </w:tcPr>
          <w:p w14:paraId="61D2E82A" w14:textId="77777777" w:rsidR="008A4BD0" w:rsidRPr="00730760" w:rsidRDefault="008A4BD0" w:rsidP="00094335">
            <w:pPr>
              <w:rPr>
                <w:sz w:val="22"/>
                <w:szCs w:val="22"/>
              </w:rPr>
            </w:pPr>
            <w:r w:rsidRPr="00730760">
              <w:rPr>
                <w:sz w:val="22"/>
                <w:szCs w:val="22"/>
              </w:rPr>
              <w:t xml:space="preserve">Renal function </w:t>
            </w:r>
            <w:r>
              <w:rPr>
                <w:sz w:val="22"/>
                <w:szCs w:val="22"/>
              </w:rPr>
              <w:t>annually in over 70’s or if pre-existing</w:t>
            </w:r>
            <w:r w:rsidRPr="00730760">
              <w:rPr>
                <w:sz w:val="22"/>
                <w:szCs w:val="22"/>
              </w:rPr>
              <w:t xml:space="preserve"> renal impairment</w:t>
            </w:r>
            <w:r>
              <w:rPr>
                <w:sz w:val="22"/>
                <w:szCs w:val="22"/>
              </w:rPr>
              <w:t xml:space="preserve"> or when known hypertension / diabetes</w:t>
            </w:r>
          </w:p>
          <w:p w14:paraId="11197BC5" w14:textId="4718842E" w:rsidR="007A4069" w:rsidRDefault="007A4069" w:rsidP="00094335">
            <w:pPr>
              <w:rPr>
                <w:sz w:val="22"/>
                <w:szCs w:val="22"/>
              </w:rPr>
            </w:pPr>
            <w:r>
              <w:rPr>
                <w:sz w:val="22"/>
                <w:szCs w:val="22"/>
              </w:rPr>
              <w:t>Optician screening: r</w:t>
            </w:r>
            <w:r w:rsidR="008A4BD0" w:rsidRPr="00730760">
              <w:rPr>
                <w:sz w:val="22"/>
                <w:szCs w:val="22"/>
              </w:rPr>
              <w:t>ecommend pre</w:t>
            </w:r>
            <w:r w:rsidR="008A4BD0">
              <w:rPr>
                <w:sz w:val="22"/>
                <w:szCs w:val="22"/>
              </w:rPr>
              <w:t>-</w:t>
            </w:r>
            <w:r w:rsidR="008A4BD0" w:rsidRPr="00730760">
              <w:rPr>
                <w:sz w:val="22"/>
                <w:szCs w:val="22"/>
              </w:rPr>
              <w:t xml:space="preserve">treatment assessment and </w:t>
            </w:r>
            <w:r w:rsidR="008A4BD0">
              <w:rPr>
                <w:sz w:val="22"/>
                <w:szCs w:val="22"/>
              </w:rPr>
              <w:t xml:space="preserve">then </w:t>
            </w:r>
            <w:r w:rsidR="008A4BD0" w:rsidRPr="00730760">
              <w:rPr>
                <w:sz w:val="22"/>
                <w:szCs w:val="22"/>
              </w:rPr>
              <w:t>annual visual acuit</w:t>
            </w:r>
            <w:r w:rsidR="008A4BD0">
              <w:rPr>
                <w:sz w:val="22"/>
                <w:szCs w:val="22"/>
              </w:rPr>
              <w:t>y/fundoscopy</w:t>
            </w:r>
            <w:r w:rsidR="00AD05CE">
              <w:rPr>
                <w:sz w:val="22"/>
                <w:szCs w:val="22"/>
              </w:rPr>
              <w:t xml:space="preserve"> and tests above where available</w:t>
            </w:r>
          </w:p>
          <w:p w14:paraId="6EB0B91F" w14:textId="77777777" w:rsidR="00FD7634" w:rsidRDefault="008A4BD0" w:rsidP="00094335">
            <w:pPr>
              <w:rPr>
                <w:sz w:val="22"/>
                <w:szCs w:val="22"/>
              </w:rPr>
            </w:pPr>
            <w:r w:rsidRPr="00730760">
              <w:rPr>
                <w:sz w:val="22"/>
                <w:szCs w:val="22"/>
              </w:rPr>
              <w:t>Formal ophthalmological</w:t>
            </w:r>
            <w:r>
              <w:rPr>
                <w:sz w:val="22"/>
                <w:szCs w:val="22"/>
              </w:rPr>
              <w:t xml:space="preserve"> screening is</w:t>
            </w:r>
            <w:r w:rsidR="007A4069">
              <w:rPr>
                <w:sz w:val="22"/>
                <w:szCs w:val="22"/>
              </w:rPr>
              <w:t xml:space="preserve"> </w:t>
            </w:r>
            <w:r w:rsidR="00FD7634">
              <w:rPr>
                <w:sz w:val="22"/>
                <w:szCs w:val="22"/>
              </w:rPr>
              <w:t xml:space="preserve">recommended annually if: </w:t>
            </w:r>
          </w:p>
          <w:p w14:paraId="732173B0" w14:textId="169BB663" w:rsidR="008A4BD0" w:rsidRDefault="00FD7634" w:rsidP="00094335">
            <w:pPr>
              <w:rPr>
                <w:sz w:val="22"/>
                <w:szCs w:val="22"/>
              </w:rPr>
            </w:pPr>
            <w:r>
              <w:rPr>
                <w:sz w:val="22"/>
                <w:szCs w:val="22"/>
              </w:rPr>
              <w:t>1)</w:t>
            </w:r>
            <w:r w:rsidR="007A4069" w:rsidRPr="00730760">
              <w:rPr>
                <w:sz w:val="22"/>
                <w:szCs w:val="22"/>
              </w:rPr>
              <w:t xml:space="preserve"> doses of</w:t>
            </w:r>
            <w:r w:rsidR="007A4069">
              <w:rPr>
                <w:sz w:val="22"/>
                <w:szCs w:val="22"/>
              </w:rPr>
              <w:t xml:space="preserve">  &gt;</w:t>
            </w:r>
            <w:r w:rsidR="007A4069" w:rsidRPr="00730760">
              <w:rPr>
                <w:sz w:val="22"/>
                <w:szCs w:val="22"/>
              </w:rPr>
              <w:t>6.5mg/kg/day are used (</w:t>
            </w:r>
            <w:r w:rsidR="007A4069">
              <w:rPr>
                <w:sz w:val="22"/>
                <w:szCs w:val="22"/>
              </w:rPr>
              <w:t>e.g</w:t>
            </w:r>
            <w:r w:rsidR="007A4069" w:rsidRPr="00730760">
              <w:rPr>
                <w:sz w:val="22"/>
                <w:szCs w:val="22"/>
              </w:rPr>
              <w:t xml:space="preserve"> 400mg/day for 60kg patient)</w:t>
            </w:r>
          </w:p>
          <w:p w14:paraId="60689F54" w14:textId="77777777" w:rsidR="00FD7634" w:rsidRDefault="00FD7634" w:rsidP="00FD7634">
            <w:pPr>
              <w:rPr>
                <w:sz w:val="22"/>
                <w:szCs w:val="22"/>
              </w:rPr>
            </w:pPr>
            <w:r>
              <w:rPr>
                <w:sz w:val="22"/>
                <w:szCs w:val="22"/>
              </w:rPr>
              <w:t>2) a</w:t>
            </w:r>
            <w:r w:rsidR="007A4069">
              <w:rPr>
                <w:sz w:val="22"/>
                <w:szCs w:val="22"/>
              </w:rPr>
              <w:t>fter 5</w:t>
            </w:r>
            <w:r w:rsidR="008A4BD0">
              <w:rPr>
                <w:sz w:val="22"/>
                <w:szCs w:val="22"/>
              </w:rPr>
              <w:t xml:space="preserve"> y</w:t>
            </w:r>
            <w:r>
              <w:rPr>
                <w:sz w:val="22"/>
                <w:szCs w:val="22"/>
              </w:rPr>
              <w:t xml:space="preserve">ears of continuous treatment </w:t>
            </w:r>
          </w:p>
          <w:p w14:paraId="337A1108" w14:textId="13A29CDE" w:rsidR="008A4BD0" w:rsidRPr="00730760" w:rsidRDefault="00FD7634" w:rsidP="00FD7634">
            <w:pPr>
              <w:rPr>
                <w:color w:val="FF0000"/>
                <w:sz w:val="22"/>
                <w:szCs w:val="22"/>
              </w:rPr>
            </w:pPr>
            <w:r>
              <w:rPr>
                <w:sz w:val="22"/>
                <w:szCs w:val="22"/>
              </w:rPr>
              <w:t xml:space="preserve">3) </w:t>
            </w:r>
            <w:r w:rsidR="008A4BD0">
              <w:rPr>
                <w:sz w:val="22"/>
                <w:szCs w:val="22"/>
              </w:rPr>
              <w:t>more t</w:t>
            </w:r>
            <w:r>
              <w:rPr>
                <w:sz w:val="22"/>
                <w:szCs w:val="22"/>
              </w:rPr>
              <w:t>han 500grams of HCQ in total have</w:t>
            </w:r>
            <w:r w:rsidR="008A4BD0">
              <w:rPr>
                <w:sz w:val="22"/>
                <w:szCs w:val="22"/>
              </w:rPr>
              <w:t xml:space="preserve"> been taken </w:t>
            </w:r>
          </w:p>
        </w:tc>
      </w:tr>
      <w:tr w:rsidR="008A4BD0" w:rsidRPr="00FC6739" w14:paraId="764F3864" w14:textId="77777777" w:rsidTr="00094335">
        <w:tc>
          <w:tcPr>
            <w:tcW w:w="3240" w:type="dxa"/>
            <w:shd w:val="clear" w:color="auto" w:fill="CCFFFF"/>
          </w:tcPr>
          <w:p w14:paraId="3CFA4B5D" w14:textId="77777777" w:rsidR="008A4BD0" w:rsidRDefault="008A4BD0" w:rsidP="00094335">
            <w:r>
              <w:t>Indications for stopping therapy:</w:t>
            </w:r>
          </w:p>
        </w:tc>
        <w:tc>
          <w:tcPr>
            <w:tcW w:w="7200" w:type="dxa"/>
            <w:shd w:val="clear" w:color="auto" w:fill="auto"/>
          </w:tcPr>
          <w:p w14:paraId="6929F165" w14:textId="77777777" w:rsidR="008A4BD0" w:rsidRPr="00FC6739" w:rsidRDefault="008A4BD0" w:rsidP="00094335">
            <w:pPr>
              <w:rPr>
                <w:b/>
                <w:sz w:val="22"/>
                <w:szCs w:val="22"/>
              </w:rPr>
            </w:pPr>
            <w:r w:rsidRPr="00FC6739">
              <w:rPr>
                <w:b/>
                <w:sz w:val="22"/>
                <w:szCs w:val="22"/>
              </w:rPr>
              <w:t>Stop medication and contact local rheumatology service if:</w:t>
            </w:r>
          </w:p>
          <w:p w14:paraId="6B1B7492" w14:textId="77777777" w:rsidR="008A4BD0" w:rsidRDefault="008A4BD0" w:rsidP="00094335">
            <w:pPr>
              <w:rPr>
                <w:sz w:val="22"/>
                <w:szCs w:val="22"/>
              </w:rPr>
            </w:pPr>
            <w:r w:rsidRPr="00FC6739">
              <w:rPr>
                <w:sz w:val="22"/>
                <w:szCs w:val="22"/>
              </w:rPr>
              <w:t>Photophobia/Haloes/Visual field defects/reduced acuity/abnormal colour v</w:t>
            </w:r>
            <w:r>
              <w:rPr>
                <w:sz w:val="22"/>
                <w:szCs w:val="22"/>
              </w:rPr>
              <w:t>ision/ pigmentary abnormality/ m</w:t>
            </w:r>
            <w:r w:rsidRPr="00FC6739">
              <w:rPr>
                <w:sz w:val="22"/>
                <w:szCs w:val="22"/>
              </w:rPr>
              <w:t>uscle weakness</w:t>
            </w:r>
          </w:p>
          <w:p w14:paraId="091E9BE4" w14:textId="002EE198" w:rsidR="00FD7634" w:rsidRPr="00FC6739" w:rsidRDefault="00FD7634" w:rsidP="00094335">
            <w:pPr>
              <w:rPr>
                <w:sz w:val="22"/>
                <w:szCs w:val="22"/>
              </w:rPr>
            </w:pPr>
            <w:r>
              <w:rPr>
                <w:sz w:val="22"/>
                <w:szCs w:val="22"/>
              </w:rPr>
              <w:t>Not considered a risk factor for infection so safe to continue</w:t>
            </w:r>
          </w:p>
        </w:tc>
      </w:tr>
      <w:tr w:rsidR="008A4BD0" w:rsidRPr="00130C6F" w14:paraId="688C2BDF" w14:textId="77777777" w:rsidTr="00094335">
        <w:tc>
          <w:tcPr>
            <w:tcW w:w="3240" w:type="dxa"/>
            <w:shd w:val="clear" w:color="auto" w:fill="CCFFFF"/>
          </w:tcPr>
          <w:p w14:paraId="583347DE" w14:textId="77777777" w:rsidR="008A4BD0" w:rsidRDefault="008A4BD0" w:rsidP="00094335">
            <w:r>
              <w:t>Assessment of Response:</w:t>
            </w:r>
          </w:p>
        </w:tc>
        <w:tc>
          <w:tcPr>
            <w:tcW w:w="7200" w:type="dxa"/>
            <w:shd w:val="clear" w:color="auto" w:fill="auto"/>
          </w:tcPr>
          <w:p w14:paraId="4258ED16" w14:textId="3B6D212C" w:rsidR="008A4BD0" w:rsidRPr="00130C6F" w:rsidRDefault="008A4BD0" w:rsidP="00094335">
            <w:pPr>
              <w:rPr>
                <w:b/>
                <w:sz w:val="22"/>
                <w:szCs w:val="22"/>
              </w:rPr>
            </w:pPr>
            <w:r w:rsidRPr="00130C6F">
              <w:rPr>
                <w:color w:val="000000"/>
                <w:sz w:val="22"/>
                <w:szCs w:val="22"/>
                <w:shd w:val="clear" w:color="auto" w:fill="FFFFFF"/>
              </w:rPr>
              <w:t xml:space="preserve">For rheumatic disease treatment should be discontinued if there is no </w:t>
            </w:r>
            <w:r w:rsidR="007A4069">
              <w:rPr>
                <w:color w:val="000000"/>
                <w:sz w:val="22"/>
                <w:szCs w:val="22"/>
                <w:shd w:val="clear" w:color="auto" w:fill="FFFFFF"/>
              </w:rPr>
              <w:t>significant</w:t>
            </w:r>
            <w:r w:rsidR="00D304A4">
              <w:rPr>
                <w:color w:val="000000"/>
                <w:sz w:val="22"/>
                <w:szCs w:val="22"/>
                <w:shd w:val="clear" w:color="auto" w:fill="FFFFFF"/>
              </w:rPr>
              <w:t xml:space="preserve"> </w:t>
            </w:r>
            <w:r w:rsidRPr="00130C6F">
              <w:rPr>
                <w:color w:val="000000"/>
                <w:sz w:val="22"/>
                <w:szCs w:val="22"/>
                <w:shd w:val="clear" w:color="auto" w:fill="FFFFFF"/>
              </w:rPr>
              <w:t xml:space="preserve">improvement by </w:t>
            </w:r>
            <w:r w:rsidR="007A4069">
              <w:rPr>
                <w:color w:val="000000"/>
                <w:sz w:val="22"/>
                <w:szCs w:val="22"/>
                <w:shd w:val="clear" w:color="auto" w:fill="FFFFFF"/>
              </w:rPr>
              <w:t>4-</w:t>
            </w:r>
            <w:r w:rsidRPr="00130C6F">
              <w:rPr>
                <w:color w:val="000000"/>
                <w:sz w:val="22"/>
                <w:szCs w:val="22"/>
                <w:shd w:val="clear" w:color="auto" w:fill="FFFFFF"/>
              </w:rPr>
              <w:t xml:space="preserve">6 months. </w:t>
            </w:r>
          </w:p>
        </w:tc>
      </w:tr>
      <w:tr w:rsidR="008A4BD0" w:rsidRPr="00FC6739" w14:paraId="4252CE76" w14:textId="77777777" w:rsidTr="00094335">
        <w:trPr>
          <w:trHeight w:val="450"/>
        </w:trPr>
        <w:tc>
          <w:tcPr>
            <w:tcW w:w="3240" w:type="dxa"/>
            <w:shd w:val="clear" w:color="auto" w:fill="CCFFFF"/>
          </w:tcPr>
          <w:p w14:paraId="647C03C5" w14:textId="77777777" w:rsidR="008A4BD0" w:rsidRDefault="008A4BD0" w:rsidP="00094335">
            <w:r>
              <w:t>Additional information:</w:t>
            </w:r>
          </w:p>
        </w:tc>
        <w:tc>
          <w:tcPr>
            <w:tcW w:w="7200" w:type="dxa"/>
            <w:tcBorders>
              <w:bottom w:val="nil"/>
            </w:tcBorders>
            <w:shd w:val="clear" w:color="auto" w:fill="auto"/>
          </w:tcPr>
          <w:p w14:paraId="04A97CC7" w14:textId="77777777" w:rsidR="008A4BD0" w:rsidRPr="00FC6739" w:rsidRDefault="008A4BD0" w:rsidP="00094335">
            <w:pPr>
              <w:rPr>
                <w:sz w:val="22"/>
                <w:szCs w:val="22"/>
              </w:rPr>
            </w:pPr>
            <w:r w:rsidRPr="00FC6739">
              <w:rPr>
                <w:sz w:val="22"/>
                <w:szCs w:val="22"/>
              </w:rPr>
              <w:t>Patients with quinine sensitivity.</w:t>
            </w:r>
          </w:p>
          <w:p w14:paraId="75249A75" w14:textId="77777777" w:rsidR="008A4BD0" w:rsidRPr="00FC6739" w:rsidRDefault="008A4BD0" w:rsidP="00094335">
            <w:pPr>
              <w:rPr>
                <w:sz w:val="22"/>
                <w:szCs w:val="22"/>
              </w:rPr>
            </w:pPr>
            <w:r w:rsidRPr="00FC6739">
              <w:rPr>
                <w:sz w:val="22"/>
                <w:szCs w:val="22"/>
              </w:rPr>
              <w:t>Use in caution in patients with:</w:t>
            </w:r>
          </w:p>
          <w:p w14:paraId="1846753D" w14:textId="77777777" w:rsidR="008A4BD0" w:rsidRDefault="008A4BD0" w:rsidP="008A4BD0">
            <w:pPr>
              <w:numPr>
                <w:ilvl w:val="0"/>
                <w:numId w:val="3"/>
              </w:numPr>
              <w:overflowPunct/>
              <w:autoSpaceDE/>
              <w:autoSpaceDN/>
              <w:adjustRightInd/>
              <w:textAlignment w:val="auto"/>
              <w:rPr>
                <w:sz w:val="22"/>
                <w:szCs w:val="22"/>
              </w:rPr>
            </w:pPr>
            <w:r w:rsidRPr="004863DB">
              <w:rPr>
                <w:sz w:val="22"/>
                <w:szCs w:val="22"/>
              </w:rPr>
              <w:t xml:space="preserve">Psoriasis </w:t>
            </w:r>
            <w:r>
              <w:rPr>
                <w:sz w:val="22"/>
                <w:szCs w:val="22"/>
              </w:rPr>
              <w:t>- increased risk of flare</w:t>
            </w:r>
          </w:p>
          <w:p w14:paraId="620C6D04" w14:textId="77777777" w:rsidR="008A4BD0" w:rsidRPr="004863DB" w:rsidRDefault="008A4BD0" w:rsidP="008A4BD0">
            <w:pPr>
              <w:numPr>
                <w:ilvl w:val="0"/>
                <w:numId w:val="3"/>
              </w:numPr>
              <w:overflowPunct/>
              <w:autoSpaceDE/>
              <w:autoSpaceDN/>
              <w:adjustRightInd/>
              <w:textAlignment w:val="auto"/>
              <w:rPr>
                <w:sz w:val="22"/>
                <w:szCs w:val="22"/>
              </w:rPr>
            </w:pPr>
            <w:r w:rsidRPr="004863DB">
              <w:rPr>
                <w:sz w:val="22"/>
                <w:szCs w:val="22"/>
              </w:rPr>
              <w:t>Patients taking medicines which may cause adverse ocular/skin reactions</w:t>
            </w:r>
          </w:p>
          <w:p w14:paraId="11BF13B7" w14:textId="77777777" w:rsidR="008A4BD0" w:rsidRPr="00FC6739" w:rsidRDefault="008A4BD0" w:rsidP="00094335">
            <w:pPr>
              <w:overflowPunct/>
              <w:autoSpaceDE/>
              <w:autoSpaceDN/>
              <w:adjustRightInd/>
              <w:textAlignment w:val="auto"/>
              <w:rPr>
                <w:sz w:val="22"/>
                <w:szCs w:val="22"/>
              </w:rPr>
            </w:pPr>
            <w:r w:rsidRPr="00CF39D9">
              <w:rPr>
                <w:b/>
                <w:sz w:val="22"/>
                <w:szCs w:val="22"/>
              </w:rPr>
              <w:t>Severe hypoglycaemia</w:t>
            </w:r>
            <w:r>
              <w:rPr>
                <w:sz w:val="22"/>
                <w:szCs w:val="22"/>
              </w:rPr>
              <w:t xml:space="preserve"> has been reported, even in the absence of anti-diabetic medication.</w:t>
            </w:r>
          </w:p>
          <w:p w14:paraId="6A63FE1D" w14:textId="77777777" w:rsidR="008A4BD0" w:rsidRPr="00FC6739" w:rsidRDefault="008A4BD0" w:rsidP="00094335">
            <w:pPr>
              <w:rPr>
                <w:sz w:val="22"/>
                <w:szCs w:val="22"/>
              </w:rPr>
            </w:pPr>
            <w:r w:rsidRPr="00FC6739">
              <w:rPr>
                <w:rFonts w:cs="Arial"/>
                <w:sz w:val="22"/>
                <w:szCs w:val="22"/>
              </w:rPr>
              <w:t>Hepatic or renal disease, and in those taking drugs known to affect those organs - dosage adjusted accordingly (seek advice from Pharmacy)</w:t>
            </w:r>
          </w:p>
          <w:p w14:paraId="191885F0" w14:textId="77777777" w:rsidR="008A4BD0" w:rsidRPr="00FC6739" w:rsidRDefault="008A4BD0" w:rsidP="00094335">
            <w:pPr>
              <w:rPr>
                <w:sz w:val="22"/>
                <w:szCs w:val="22"/>
              </w:rPr>
            </w:pPr>
            <w:r w:rsidRPr="00FC6739">
              <w:rPr>
                <w:sz w:val="22"/>
                <w:szCs w:val="22"/>
              </w:rPr>
              <w:t xml:space="preserve">Important drug interactions: </w:t>
            </w:r>
            <w:r>
              <w:rPr>
                <w:sz w:val="22"/>
                <w:szCs w:val="22"/>
              </w:rPr>
              <w:t>a</w:t>
            </w:r>
            <w:r w:rsidRPr="00FC6739">
              <w:rPr>
                <w:sz w:val="22"/>
                <w:szCs w:val="22"/>
              </w:rPr>
              <w:t xml:space="preserve">miodarone, </w:t>
            </w:r>
            <w:r>
              <w:rPr>
                <w:sz w:val="22"/>
                <w:szCs w:val="22"/>
              </w:rPr>
              <w:t>m</w:t>
            </w:r>
            <w:r w:rsidRPr="00FC6739">
              <w:rPr>
                <w:sz w:val="22"/>
                <w:szCs w:val="22"/>
              </w:rPr>
              <w:t xml:space="preserve">oxifloxacin, </w:t>
            </w:r>
            <w:r>
              <w:rPr>
                <w:sz w:val="22"/>
                <w:szCs w:val="22"/>
              </w:rPr>
              <w:t>c</w:t>
            </w:r>
            <w:r w:rsidRPr="00FC6739">
              <w:rPr>
                <w:sz w:val="22"/>
                <w:szCs w:val="22"/>
              </w:rPr>
              <w:t xml:space="preserve">iclosporin, </w:t>
            </w:r>
            <w:r>
              <w:rPr>
                <w:sz w:val="22"/>
                <w:szCs w:val="22"/>
              </w:rPr>
              <w:t>d</w:t>
            </w:r>
            <w:r w:rsidRPr="00FC6739">
              <w:rPr>
                <w:sz w:val="22"/>
                <w:szCs w:val="22"/>
              </w:rPr>
              <w:t>igoxin</w:t>
            </w:r>
          </w:p>
          <w:p w14:paraId="5CD71523" w14:textId="77777777" w:rsidR="008A4BD0" w:rsidRPr="00FC6739" w:rsidRDefault="008A4BD0" w:rsidP="00094335">
            <w:pPr>
              <w:rPr>
                <w:sz w:val="22"/>
                <w:szCs w:val="22"/>
              </w:rPr>
            </w:pPr>
            <w:r w:rsidRPr="00FC6739">
              <w:rPr>
                <w:sz w:val="22"/>
                <w:szCs w:val="22"/>
              </w:rPr>
              <w:t>Antacids (advise a 4 hour interval)</w:t>
            </w:r>
          </w:p>
        </w:tc>
      </w:tr>
      <w:tr w:rsidR="00FD7634" w:rsidRPr="00FC6739" w14:paraId="65386860" w14:textId="77777777" w:rsidTr="00094335">
        <w:trPr>
          <w:trHeight w:val="450"/>
        </w:trPr>
        <w:tc>
          <w:tcPr>
            <w:tcW w:w="3240" w:type="dxa"/>
            <w:shd w:val="clear" w:color="auto" w:fill="CCFFFF"/>
          </w:tcPr>
          <w:p w14:paraId="36E0313E" w14:textId="4526DC71" w:rsidR="00FD7634" w:rsidRDefault="00FD7634" w:rsidP="00FD7634">
            <w:r>
              <w:t>Pregnancy &amp; Breastfeeding:</w:t>
            </w:r>
          </w:p>
        </w:tc>
        <w:tc>
          <w:tcPr>
            <w:tcW w:w="7200" w:type="dxa"/>
            <w:tcBorders>
              <w:bottom w:val="nil"/>
            </w:tcBorders>
            <w:shd w:val="clear" w:color="auto" w:fill="auto"/>
          </w:tcPr>
          <w:p w14:paraId="7EE3B2A3" w14:textId="77777777" w:rsidR="00FD7634" w:rsidRDefault="00FD7634" w:rsidP="00FD7634">
            <w:pPr>
              <w:rPr>
                <w:rFonts w:cs="Arial"/>
                <w:sz w:val="22"/>
                <w:szCs w:val="22"/>
              </w:rPr>
            </w:pPr>
            <w:r>
              <w:rPr>
                <w:rFonts w:cs="Arial"/>
                <w:sz w:val="22"/>
                <w:szCs w:val="22"/>
              </w:rPr>
              <w:t xml:space="preserve">Where deemed appropriate continue </w:t>
            </w:r>
            <w:r w:rsidRPr="00730760">
              <w:rPr>
                <w:rFonts w:cs="Arial"/>
                <w:sz w:val="22"/>
                <w:szCs w:val="22"/>
              </w:rPr>
              <w:t>in pregnancy</w:t>
            </w:r>
            <w:r>
              <w:rPr>
                <w:rFonts w:cs="Arial"/>
                <w:sz w:val="22"/>
                <w:szCs w:val="22"/>
              </w:rPr>
              <w:t>, but combine</w:t>
            </w:r>
            <w:r w:rsidRPr="00730760">
              <w:rPr>
                <w:rFonts w:cs="Arial"/>
                <w:sz w:val="22"/>
                <w:szCs w:val="22"/>
              </w:rPr>
              <w:t xml:space="preserve"> with folic acid 5mg od. </w:t>
            </w:r>
          </w:p>
          <w:p w14:paraId="51CDF4E2" w14:textId="00492462" w:rsidR="00FD7634" w:rsidRPr="00FC6739" w:rsidRDefault="00FD7634" w:rsidP="00FD7634">
            <w:pPr>
              <w:rPr>
                <w:sz w:val="22"/>
                <w:szCs w:val="22"/>
              </w:rPr>
            </w:pPr>
            <w:r>
              <w:rPr>
                <w:rFonts w:cs="Arial"/>
                <w:sz w:val="22"/>
                <w:szCs w:val="22"/>
              </w:rPr>
              <w:t>Considered safe when breast feeding.</w:t>
            </w:r>
          </w:p>
        </w:tc>
      </w:tr>
      <w:tr w:rsidR="00FD7634" w:rsidRPr="00730760" w14:paraId="0F13B1F3" w14:textId="77777777" w:rsidTr="00094335">
        <w:tc>
          <w:tcPr>
            <w:tcW w:w="10440" w:type="dxa"/>
            <w:gridSpan w:val="2"/>
            <w:shd w:val="clear" w:color="auto" w:fill="auto"/>
          </w:tcPr>
          <w:p w14:paraId="1090A595" w14:textId="77777777" w:rsidR="00FD7634" w:rsidRPr="00730760" w:rsidRDefault="00FD7634" w:rsidP="00FD7634">
            <w:pPr>
              <w:rPr>
                <w:sz w:val="20"/>
              </w:rPr>
            </w:pPr>
            <w:r w:rsidRPr="00730760">
              <w:rPr>
                <w:sz w:val="20"/>
              </w:rPr>
              <w:t>Please refer to licensed datasheet for more comprehensive prescribing information:</w:t>
            </w:r>
          </w:p>
          <w:p w14:paraId="182CF084" w14:textId="77777777" w:rsidR="00FD7634" w:rsidRPr="00730760" w:rsidRDefault="00FD7634" w:rsidP="00FD7634">
            <w:pPr>
              <w:rPr>
                <w:sz w:val="22"/>
                <w:szCs w:val="22"/>
              </w:rPr>
            </w:pPr>
            <w:r w:rsidRPr="00730760">
              <w:rPr>
                <w:sz w:val="18"/>
                <w:szCs w:val="18"/>
              </w:rPr>
              <w:t>http://www.medicines.org.uk/EMC/medicine/6977/SPC/Plaquenil+Tablets/</w:t>
            </w:r>
          </w:p>
        </w:tc>
      </w:tr>
    </w:tbl>
    <w:p w14:paraId="2D1EAB9B" w14:textId="049AFBFF" w:rsidR="008A4BD0" w:rsidRDefault="008A4BD0">
      <w:pPr>
        <w:overflowPunct/>
        <w:autoSpaceDE/>
        <w:autoSpaceDN/>
        <w:adjustRightInd/>
        <w:spacing w:after="160" w:line="259" w:lineRule="auto"/>
        <w:textAlignment w:val="auto"/>
        <w:rPr>
          <w:rFonts w:asciiTheme="majorHAnsi" w:eastAsia="Arial Unicode MS" w:hAnsiTheme="majorHAnsi" w:cstheme="majorBidi"/>
          <w:color w:val="2E74B5" w:themeColor="accent1" w:themeShade="BF"/>
          <w:sz w:val="26"/>
          <w:szCs w:val="26"/>
        </w:rPr>
      </w:pPr>
    </w:p>
    <w:p w14:paraId="48C209FA" w14:textId="77777777" w:rsidR="008A4BD0" w:rsidRDefault="008A4BD0">
      <w:pPr>
        <w:overflowPunct/>
        <w:autoSpaceDE/>
        <w:autoSpaceDN/>
        <w:adjustRightInd/>
        <w:spacing w:after="160" w:line="259" w:lineRule="auto"/>
        <w:textAlignment w:val="auto"/>
        <w:rPr>
          <w:rFonts w:asciiTheme="majorHAnsi" w:eastAsia="Arial Unicode MS" w:hAnsiTheme="majorHAnsi" w:cstheme="majorBidi"/>
          <w:color w:val="2E74B5" w:themeColor="accent1" w:themeShade="BF"/>
          <w:sz w:val="26"/>
          <w:szCs w:val="26"/>
        </w:rPr>
      </w:pPr>
      <w:r>
        <w:rPr>
          <w:rFonts w:asciiTheme="majorHAnsi" w:eastAsia="Arial Unicode MS" w:hAnsiTheme="majorHAnsi" w:cstheme="majorBidi"/>
          <w:color w:val="2E74B5" w:themeColor="accent1" w:themeShade="BF"/>
          <w:sz w:val="26"/>
          <w:szCs w:val="26"/>
        </w:rPr>
        <w:br w:type="page"/>
      </w:r>
    </w:p>
    <w:p w14:paraId="1B8CD383" w14:textId="735B2EDC" w:rsidR="008A4BD0" w:rsidRDefault="001113B5" w:rsidP="008A4BD0">
      <w:pPr>
        <w:pStyle w:val="Heading2"/>
        <w:rPr>
          <w:rFonts w:asciiTheme="majorHAnsi" w:eastAsia="Arial Unicode MS" w:hAnsiTheme="majorHAnsi"/>
          <w:color w:val="2E74B5" w:themeColor="accent1" w:themeShade="BF"/>
        </w:rPr>
      </w:pPr>
      <w:bookmarkStart w:id="10" w:name="_Toc531873924"/>
      <w:r w:rsidRPr="00D72264">
        <w:lastRenderedPageBreak/>
        <w:t>Leflunomide</w:t>
      </w:r>
      <w:bookmarkEnd w:id="10"/>
    </w:p>
    <w:tbl>
      <w:tblPr>
        <w:tblpPr w:leftFromText="180" w:rightFromText="180" w:vertAnchor="text" w:horzAnchor="page" w:tblpX="1011" w:tblpY="32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8A4BD0" w:rsidRPr="00730760" w14:paraId="56D6A507" w14:textId="77777777" w:rsidTr="008A4BD0">
        <w:tc>
          <w:tcPr>
            <w:tcW w:w="3240" w:type="dxa"/>
            <w:shd w:val="clear" w:color="auto" w:fill="CCFFFF"/>
          </w:tcPr>
          <w:p w14:paraId="75B431EF" w14:textId="77777777" w:rsidR="008A4BD0" w:rsidRPr="00730760" w:rsidRDefault="008A4BD0" w:rsidP="008A4BD0">
            <w:pPr>
              <w:rPr>
                <w:rFonts w:cs="Arial"/>
                <w:sz w:val="22"/>
                <w:szCs w:val="22"/>
              </w:rPr>
            </w:pPr>
            <w:r>
              <w:rPr>
                <w:rFonts w:cs="Arial"/>
                <w:sz w:val="22"/>
                <w:szCs w:val="22"/>
              </w:rPr>
              <w:t>Dose:</w:t>
            </w:r>
          </w:p>
        </w:tc>
        <w:tc>
          <w:tcPr>
            <w:tcW w:w="7200" w:type="dxa"/>
            <w:shd w:val="clear" w:color="auto" w:fill="auto"/>
          </w:tcPr>
          <w:p w14:paraId="1CEC98A2" w14:textId="5E760208" w:rsidR="008A4BD0" w:rsidRPr="003E3C14" w:rsidRDefault="008A4BD0" w:rsidP="008A4BD0">
            <w:pPr>
              <w:rPr>
                <w:rFonts w:cs="Arial"/>
                <w:sz w:val="22"/>
                <w:szCs w:val="22"/>
                <w:u w:val="single"/>
              </w:rPr>
            </w:pPr>
            <w:r w:rsidRPr="003E3C14">
              <w:rPr>
                <w:sz w:val="22"/>
                <w:szCs w:val="22"/>
              </w:rPr>
              <w:t>Usually considered for patients with active RA/ PsA who have failed methotrexate and</w:t>
            </w:r>
            <w:r w:rsidR="00132E20">
              <w:rPr>
                <w:sz w:val="22"/>
                <w:szCs w:val="22"/>
              </w:rPr>
              <w:t>/or</w:t>
            </w:r>
            <w:r w:rsidRPr="003E3C14">
              <w:rPr>
                <w:sz w:val="22"/>
                <w:szCs w:val="22"/>
              </w:rPr>
              <w:t xml:space="preserve"> sulphasalazine</w:t>
            </w:r>
            <w:r>
              <w:rPr>
                <w:rFonts w:cs="Arial"/>
                <w:sz w:val="22"/>
                <w:szCs w:val="22"/>
                <w:u w:val="single"/>
              </w:rPr>
              <w:t>.</w:t>
            </w:r>
          </w:p>
          <w:p w14:paraId="3BA84D9A" w14:textId="77777777" w:rsidR="008A4BD0" w:rsidRDefault="008A4BD0" w:rsidP="008A4BD0">
            <w:pPr>
              <w:rPr>
                <w:rFonts w:cs="Arial"/>
                <w:sz w:val="22"/>
                <w:szCs w:val="22"/>
              </w:rPr>
            </w:pPr>
            <w:r>
              <w:rPr>
                <w:rFonts w:cs="Arial"/>
                <w:sz w:val="22"/>
                <w:szCs w:val="22"/>
              </w:rPr>
              <w:t>L</w:t>
            </w:r>
            <w:r w:rsidRPr="00730760">
              <w:rPr>
                <w:rFonts w:cs="Arial"/>
                <w:sz w:val="22"/>
                <w:szCs w:val="22"/>
              </w:rPr>
              <w:t>oading dos</w:t>
            </w:r>
            <w:r>
              <w:rPr>
                <w:rFonts w:cs="Arial"/>
                <w:sz w:val="22"/>
                <w:szCs w:val="22"/>
              </w:rPr>
              <w:t>e of 100mg daily for three days IS NOT recommended</w:t>
            </w:r>
            <w:r w:rsidRPr="00730760">
              <w:rPr>
                <w:rFonts w:cs="Arial"/>
                <w:sz w:val="22"/>
                <w:szCs w:val="22"/>
              </w:rPr>
              <w:t xml:space="preserve"> </w:t>
            </w:r>
          </w:p>
          <w:p w14:paraId="42B5E31D" w14:textId="77777777" w:rsidR="008A4BD0" w:rsidRPr="00730760" w:rsidRDefault="008A4BD0" w:rsidP="008A4BD0">
            <w:pPr>
              <w:rPr>
                <w:rFonts w:cs="Arial"/>
                <w:sz w:val="22"/>
                <w:szCs w:val="22"/>
              </w:rPr>
            </w:pPr>
            <w:r w:rsidRPr="00730760">
              <w:rPr>
                <w:rFonts w:cs="Arial"/>
                <w:sz w:val="22"/>
                <w:szCs w:val="22"/>
              </w:rPr>
              <w:t>20mg (or 10mg) daily as a single tablet should be used. Timing of dose is not important. Patients with uncertain alcohol intake or other hepatotoxic drugs may warrant increased vigilance.</w:t>
            </w:r>
          </w:p>
        </w:tc>
      </w:tr>
      <w:tr w:rsidR="008A4BD0" w:rsidRPr="00730760" w14:paraId="464384D1" w14:textId="77777777" w:rsidTr="008A4BD0">
        <w:tc>
          <w:tcPr>
            <w:tcW w:w="3240" w:type="dxa"/>
            <w:shd w:val="clear" w:color="auto" w:fill="CCFFFF"/>
          </w:tcPr>
          <w:p w14:paraId="0385E10D" w14:textId="77777777" w:rsidR="008A4BD0" w:rsidRPr="00730760" w:rsidRDefault="008A4BD0" w:rsidP="008A4BD0">
            <w:pPr>
              <w:rPr>
                <w:rFonts w:cs="Arial"/>
                <w:sz w:val="22"/>
                <w:szCs w:val="22"/>
              </w:rPr>
            </w:pPr>
            <w:r>
              <w:rPr>
                <w:rFonts w:cs="Arial"/>
                <w:sz w:val="22"/>
                <w:szCs w:val="22"/>
              </w:rPr>
              <w:t>Baseline tests:</w:t>
            </w:r>
          </w:p>
        </w:tc>
        <w:tc>
          <w:tcPr>
            <w:tcW w:w="7200" w:type="dxa"/>
            <w:shd w:val="clear" w:color="auto" w:fill="auto"/>
          </w:tcPr>
          <w:p w14:paraId="42176B97" w14:textId="77777777" w:rsidR="008A4BD0" w:rsidRPr="00730760" w:rsidRDefault="008A4BD0" w:rsidP="008A4BD0">
            <w:pPr>
              <w:rPr>
                <w:rFonts w:cs="Arial"/>
                <w:sz w:val="22"/>
                <w:szCs w:val="22"/>
              </w:rPr>
            </w:pPr>
            <w:r w:rsidRPr="00730760">
              <w:rPr>
                <w:rFonts w:cs="Arial"/>
                <w:sz w:val="22"/>
                <w:szCs w:val="22"/>
              </w:rPr>
              <w:t>FBC/U&amp;E and LFT</w:t>
            </w:r>
          </w:p>
          <w:p w14:paraId="17875EB8" w14:textId="77777777" w:rsidR="008A4BD0" w:rsidRDefault="008A4BD0" w:rsidP="008A4BD0">
            <w:pPr>
              <w:rPr>
                <w:rFonts w:cs="Arial"/>
                <w:sz w:val="22"/>
                <w:szCs w:val="22"/>
              </w:rPr>
            </w:pPr>
            <w:r>
              <w:rPr>
                <w:rFonts w:cs="Arial"/>
                <w:sz w:val="22"/>
                <w:szCs w:val="22"/>
              </w:rPr>
              <w:t>BP</w:t>
            </w:r>
          </w:p>
          <w:p w14:paraId="3F496AAC" w14:textId="77777777" w:rsidR="008A4BD0" w:rsidRDefault="008A4BD0" w:rsidP="008A4BD0">
            <w:pPr>
              <w:rPr>
                <w:rFonts w:cs="Arial"/>
                <w:sz w:val="22"/>
                <w:szCs w:val="22"/>
              </w:rPr>
            </w:pPr>
            <w:r>
              <w:rPr>
                <w:rFonts w:cs="Arial"/>
                <w:sz w:val="22"/>
                <w:szCs w:val="22"/>
              </w:rPr>
              <w:t>Consider Pregnancy test</w:t>
            </w:r>
          </w:p>
          <w:p w14:paraId="7E8E1A4D" w14:textId="1FB0B5CD" w:rsidR="008A4BD0" w:rsidRDefault="008A4BD0" w:rsidP="008A4BD0">
            <w:pPr>
              <w:rPr>
                <w:rFonts w:cs="Arial"/>
                <w:sz w:val="22"/>
                <w:szCs w:val="22"/>
              </w:rPr>
            </w:pPr>
            <w:r>
              <w:rPr>
                <w:rFonts w:cs="Arial"/>
                <w:sz w:val="22"/>
                <w:szCs w:val="22"/>
              </w:rPr>
              <w:t>Consider Chest X-ray and PFTs</w:t>
            </w:r>
          </w:p>
          <w:p w14:paraId="593B3843" w14:textId="38F1856E" w:rsidR="00132E20" w:rsidRDefault="00132E20" w:rsidP="008A4BD0">
            <w:pPr>
              <w:rPr>
                <w:rFonts w:cs="Arial"/>
                <w:sz w:val="22"/>
                <w:szCs w:val="22"/>
              </w:rPr>
            </w:pPr>
            <w:r>
              <w:rPr>
                <w:rFonts w:cs="Arial"/>
                <w:sz w:val="22"/>
                <w:szCs w:val="22"/>
              </w:rPr>
              <w:t>Consider Hep B/C/ HIV</w:t>
            </w:r>
          </w:p>
          <w:p w14:paraId="2C9409AA" w14:textId="77777777" w:rsidR="008A4BD0" w:rsidRPr="00730760" w:rsidRDefault="008A4BD0" w:rsidP="008A4BD0">
            <w:pPr>
              <w:rPr>
                <w:rFonts w:cs="Arial"/>
                <w:sz w:val="22"/>
                <w:szCs w:val="22"/>
              </w:rPr>
            </w:pPr>
            <w:r>
              <w:rPr>
                <w:rFonts w:cs="Arial"/>
                <w:sz w:val="22"/>
                <w:szCs w:val="22"/>
              </w:rPr>
              <w:t>Note: use is contra-indicated in hepatic impairment, severe immunodeficiency states (AIDS), moderate to severe renal impairment, severe hypoproteinaemia (nephrotic syndrome) and impaired bone marrow function.</w:t>
            </w:r>
          </w:p>
        </w:tc>
      </w:tr>
      <w:tr w:rsidR="008A4BD0" w:rsidRPr="00730760" w14:paraId="75899759" w14:textId="77777777" w:rsidTr="008A4BD0">
        <w:trPr>
          <w:trHeight w:val="735"/>
        </w:trPr>
        <w:tc>
          <w:tcPr>
            <w:tcW w:w="3240" w:type="dxa"/>
            <w:shd w:val="clear" w:color="auto" w:fill="CCFFFF"/>
          </w:tcPr>
          <w:p w14:paraId="274B1966" w14:textId="77777777" w:rsidR="008A4BD0" w:rsidRPr="00730760" w:rsidRDefault="008A4BD0" w:rsidP="008A4BD0">
            <w:pPr>
              <w:rPr>
                <w:rFonts w:cs="Arial"/>
                <w:sz w:val="22"/>
                <w:szCs w:val="22"/>
              </w:rPr>
            </w:pPr>
            <w:r>
              <w:rPr>
                <w:rFonts w:cs="Arial"/>
                <w:sz w:val="22"/>
                <w:szCs w:val="22"/>
              </w:rPr>
              <w:t>Routine monitoring:</w:t>
            </w:r>
          </w:p>
        </w:tc>
        <w:tc>
          <w:tcPr>
            <w:tcW w:w="7200" w:type="dxa"/>
            <w:shd w:val="clear" w:color="auto" w:fill="auto"/>
          </w:tcPr>
          <w:p w14:paraId="2C5B7D62" w14:textId="77777777" w:rsidR="00A83B74" w:rsidRDefault="00A83B74" w:rsidP="008A4BD0">
            <w:pPr>
              <w:rPr>
                <w:rFonts w:cs="Arial"/>
                <w:sz w:val="22"/>
                <w:szCs w:val="22"/>
              </w:rPr>
            </w:pPr>
            <w:r>
              <w:rPr>
                <w:rFonts w:cs="Arial"/>
                <w:sz w:val="22"/>
                <w:szCs w:val="22"/>
              </w:rPr>
              <w:t>BP at each visit</w:t>
            </w:r>
          </w:p>
          <w:p w14:paraId="762B437B" w14:textId="77777777" w:rsidR="00A83B74" w:rsidRDefault="00A83B74" w:rsidP="00A83B74">
            <w:pPr>
              <w:rPr>
                <w:sz w:val="22"/>
                <w:szCs w:val="22"/>
              </w:rPr>
            </w:pPr>
            <w:r w:rsidRPr="001A7746">
              <w:rPr>
                <w:sz w:val="22"/>
                <w:szCs w:val="22"/>
              </w:rPr>
              <w:t xml:space="preserve">FBC, </w:t>
            </w:r>
            <w:r>
              <w:rPr>
                <w:sz w:val="22"/>
                <w:szCs w:val="22"/>
              </w:rPr>
              <w:t>U&amp;Es</w:t>
            </w:r>
            <w:r w:rsidRPr="001A7746">
              <w:rPr>
                <w:sz w:val="22"/>
                <w:szCs w:val="22"/>
              </w:rPr>
              <w:t xml:space="preserve">, </w:t>
            </w:r>
            <w:r>
              <w:rPr>
                <w:sz w:val="22"/>
                <w:szCs w:val="22"/>
              </w:rPr>
              <w:t>LFTs</w:t>
            </w:r>
            <w:r w:rsidRPr="001A7746">
              <w:rPr>
                <w:sz w:val="22"/>
                <w:szCs w:val="22"/>
              </w:rPr>
              <w:t xml:space="preserve"> every 2 weeks until on stable dose for 6 weeks </w:t>
            </w:r>
          </w:p>
          <w:p w14:paraId="74C8B985" w14:textId="77777777" w:rsidR="00A83B74" w:rsidRDefault="00A83B74" w:rsidP="00A83B74">
            <w:pPr>
              <w:rPr>
                <w:sz w:val="22"/>
                <w:szCs w:val="22"/>
              </w:rPr>
            </w:pPr>
            <w:r>
              <w:rPr>
                <w:sz w:val="22"/>
                <w:szCs w:val="22"/>
              </w:rPr>
              <w:t>O</w:t>
            </w:r>
            <w:r w:rsidRPr="001A7746">
              <w:rPr>
                <w:sz w:val="22"/>
                <w:szCs w:val="22"/>
              </w:rPr>
              <w:t xml:space="preserve">nce on stable dose, monthly </w:t>
            </w:r>
            <w:r>
              <w:rPr>
                <w:sz w:val="22"/>
                <w:szCs w:val="22"/>
              </w:rPr>
              <w:t>for 3 months</w:t>
            </w:r>
          </w:p>
          <w:p w14:paraId="53821CA0" w14:textId="77777777" w:rsidR="00A83B74" w:rsidRDefault="00A83B74" w:rsidP="00A83B74">
            <w:pPr>
              <w:rPr>
                <w:sz w:val="22"/>
                <w:szCs w:val="22"/>
              </w:rPr>
            </w:pPr>
            <w:r>
              <w:rPr>
                <w:sz w:val="22"/>
                <w:szCs w:val="22"/>
              </w:rPr>
              <w:t>T</w:t>
            </w:r>
            <w:r w:rsidRPr="001A7746">
              <w:rPr>
                <w:sz w:val="22"/>
                <w:szCs w:val="22"/>
              </w:rPr>
              <w:t xml:space="preserve">hereafter, at least every 12 weeks. </w:t>
            </w:r>
          </w:p>
          <w:p w14:paraId="071A1EDF" w14:textId="5EC47A07" w:rsidR="00A83B74" w:rsidRPr="00730760" w:rsidRDefault="00A83B74" w:rsidP="00A83B74">
            <w:pPr>
              <w:rPr>
                <w:rFonts w:cs="Arial"/>
                <w:color w:val="FF0000"/>
                <w:sz w:val="22"/>
                <w:szCs w:val="22"/>
              </w:rPr>
            </w:pPr>
            <w:r w:rsidRPr="001A7746">
              <w:rPr>
                <w:sz w:val="22"/>
                <w:szCs w:val="22"/>
              </w:rPr>
              <w:t>More frequent monitoring is appropriate in patients at higher risk of toxicity</w:t>
            </w:r>
            <w:r>
              <w:rPr>
                <w:sz w:val="22"/>
                <w:szCs w:val="22"/>
              </w:rPr>
              <w:t>, or when clinically indicated</w:t>
            </w:r>
            <w:r w:rsidRPr="00FD1A92">
              <w:rPr>
                <w:sz w:val="18"/>
                <w:szCs w:val="18"/>
              </w:rPr>
              <w:t xml:space="preserve"> </w:t>
            </w:r>
          </w:p>
          <w:p w14:paraId="11AB5932" w14:textId="1AA6E479" w:rsidR="008A4BD0" w:rsidRPr="00CA3B20" w:rsidRDefault="00CA3B20" w:rsidP="00CA3B20">
            <w:pPr>
              <w:rPr>
                <w:sz w:val="22"/>
                <w:szCs w:val="22"/>
              </w:rPr>
            </w:pPr>
            <w:r w:rsidRPr="00CA3B20">
              <w:rPr>
                <w:rFonts w:eastAsia="Merriweather"/>
                <w:sz w:val="22"/>
                <w:szCs w:val="22"/>
              </w:rPr>
              <w:t xml:space="preserve">Dose increases should be monitored by FBC, </w:t>
            </w:r>
            <w:r>
              <w:rPr>
                <w:rFonts w:eastAsia="Merriweather"/>
                <w:sz w:val="22"/>
                <w:szCs w:val="22"/>
              </w:rPr>
              <w:t>U&amp;Es</w:t>
            </w:r>
            <w:r w:rsidRPr="00CA3B20">
              <w:rPr>
                <w:rFonts w:eastAsia="Merriweather"/>
                <w:sz w:val="22"/>
                <w:szCs w:val="22"/>
              </w:rPr>
              <w:t xml:space="preserve"> every 2 weeks until on stable dose for 6 weeks then revert to previous schedule</w:t>
            </w:r>
          </w:p>
        </w:tc>
      </w:tr>
      <w:tr w:rsidR="008A4BD0" w:rsidRPr="00730760" w14:paraId="45A0627C" w14:textId="77777777" w:rsidTr="008A4BD0">
        <w:trPr>
          <w:trHeight w:val="735"/>
        </w:trPr>
        <w:tc>
          <w:tcPr>
            <w:tcW w:w="3240" w:type="dxa"/>
            <w:shd w:val="clear" w:color="auto" w:fill="CCFFFF"/>
          </w:tcPr>
          <w:p w14:paraId="3A801669" w14:textId="77777777" w:rsidR="008A4BD0" w:rsidRPr="00730760" w:rsidRDefault="008A4BD0" w:rsidP="008A4BD0">
            <w:pPr>
              <w:rPr>
                <w:rFonts w:cs="Arial"/>
                <w:sz w:val="22"/>
                <w:szCs w:val="22"/>
              </w:rPr>
            </w:pPr>
            <w:r>
              <w:rPr>
                <w:rFonts w:cs="Arial"/>
                <w:sz w:val="22"/>
                <w:szCs w:val="22"/>
              </w:rPr>
              <w:t>Indications for stopping treatment:</w:t>
            </w:r>
          </w:p>
        </w:tc>
        <w:tc>
          <w:tcPr>
            <w:tcW w:w="7200" w:type="dxa"/>
            <w:shd w:val="clear" w:color="auto" w:fill="auto"/>
          </w:tcPr>
          <w:p w14:paraId="5EE89555" w14:textId="77777777" w:rsidR="008A4BD0" w:rsidRPr="00854086" w:rsidRDefault="008A4BD0" w:rsidP="008A4BD0">
            <w:pPr>
              <w:numPr>
                <w:ilvl w:val="0"/>
                <w:numId w:val="9"/>
              </w:numPr>
              <w:tabs>
                <w:tab w:val="left" w:pos="427"/>
              </w:tabs>
              <w:rPr>
                <w:color w:val="000000"/>
                <w:sz w:val="22"/>
                <w:szCs w:val="22"/>
                <w:shd w:val="clear" w:color="auto" w:fill="FFFFFF"/>
              </w:rPr>
            </w:pPr>
            <w:r w:rsidRPr="00854086">
              <w:rPr>
                <w:color w:val="000000"/>
                <w:sz w:val="22"/>
                <w:szCs w:val="22"/>
                <w:shd w:val="clear" w:color="auto" w:fill="FFFFFF"/>
              </w:rPr>
              <w:t>Ulcerative stomatitis – stop and contact specialist</w:t>
            </w:r>
          </w:p>
          <w:p w14:paraId="1BB5B9E5" w14:textId="77777777" w:rsidR="008A4BD0" w:rsidRPr="00854086" w:rsidRDefault="008A4BD0" w:rsidP="008A4BD0">
            <w:pPr>
              <w:numPr>
                <w:ilvl w:val="0"/>
                <w:numId w:val="9"/>
              </w:numPr>
              <w:tabs>
                <w:tab w:val="left" w:pos="427"/>
              </w:tabs>
              <w:rPr>
                <w:color w:val="000000"/>
                <w:sz w:val="22"/>
                <w:szCs w:val="22"/>
                <w:shd w:val="clear" w:color="auto" w:fill="FFFFFF"/>
              </w:rPr>
            </w:pPr>
            <w:r w:rsidRPr="00854086">
              <w:rPr>
                <w:color w:val="000000"/>
                <w:sz w:val="22"/>
                <w:szCs w:val="22"/>
                <w:shd w:val="clear" w:color="auto" w:fill="FFFFFF"/>
              </w:rPr>
              <w:t>Skin/mucosal reaction (risk of Stephen Johnson) – stop and contact specialist (washout recommended – cholestyramine 8g tds for 11 days</w:t>
            </w:r>
            <w:r>
              <w:rPr>
                <w:color w:val="000000"/>
                <w:sz w:val="22"/>
                <w:szCs w:val="22"/>
                <w:shd w:val="clear" w:color="auto" w:fill="FFFFFF"/>
              </w:rPr>
              <w:t xml:space="preserve"> or charcoal</w:t>
            </w:r>
            <w:r w:rsidRPr="00854086">
              <w:rPr>
                <w:color w:val="000000"/>
                <w:sz w:val="22"/>
                <w:szCs w:val="22"/>
                <w:shd w:val="clear" w:color="auto" w:fill="FFFFFF"/>
              </w:rPr>
              <w:t>).</w:t>
            </w:r>
          </w:p>
          <w:p w14:paraId="25A93BC4" w14:textId="7E99AEF1" w:rsidR="008A4BD0" w:rsidRPr="00854086" w:rsidRDefault="008A4BD0" w:rsidP="008A4BD0">
            <w:pPr>
              <w:numPr>
                <w:ilvl w:val="0"/>
                <w:numId w:val="9"/>
              </w:numPr>
              <w:tabs>
                <w:tab w:val="left" w:pos="427"/>
              </w:tabs>
              <w:rPr>
                <w:color w:val="000000"/>
                <w:sz w:val="22"/>
                <w:szCs w:val="22"/>
                <w:shd w:val="clear" w:color="auto" w:fill="FFFFFF"/>
              </w:rPr>
            </w:pPr>
            <w:r>
              <w:rPr>
                <w:color w:val="000000"/>
                <w:sz w:val="22"/>
                <w:szCs w:val="22"/>
                <w:shd w:val="clear" w:color="auto" w:fill="FFFFFF"/>
              </w:rPr>
              <w:t>P</w:t>
            </w:r>
            <w:r w:rsidRPr="00854086">
              <w:rPr>
                <w:color w:val="000000"/>
                <w:sz w:val="22"/>
                <w:szCs w:val="22"/>
                <w:shd w:val="clear" w:color="auto" w:fill="FFFFFF"/>
              </w:rPr>
              <w:t xml:space="preserve">eripheral neuropathy – </w:t>
            </w:r>
            <w:r w:rsidR="00132E20">
              <w:rPr>
                <w:color w:val="000000"/>
                <w:sz w:val="22"/>
                <w:szCs w:val="22"/>
                <w:shd w:val="clear" w:color="auto" w:fill="FFFFFF"/>
              </w:rPr>
              <w:t xml:space="preserve">consider </w:t>
            </w:r>
            <w:r w:rsidRPr="00854086">
              <w:rPr>
                <w:color w:val="000000"/>
                <w:sz w:val="22"/>
                <w:szCs w:val="22"/>
                <w:shd w:val="clear" w:color="auto" w:fill="FFFFFF"/>
              </w:rPr>
              <w:t>stop and contact hospital specialist.</w:t>
            </w:r>
          </w:p>
          <w:p w14:paraId="6866A32B" w14:textId="77777777" w:rsidR="008A4BD0" w:rsidRPr="00854086" w:rsidRDefault="008A4BD0" w:rsidP="008A4BD0">
            <w:pPr>
              <w:numPr>
                <w:ilvl w:val="0"/>
                <w:numId w:val="9"/>
              </w:numPr>
              <w:tabs>
                <w:tab w:val="left" w:pos="427"/>
              </w:tabs>
              <w:rPr>
                <w:color w:val="000000"/>
                <w:sz w:val="22"/>
                <w:szCs w:val="22"/>
                <w:shd w:val="clear" w:color="auto" w:fill="FFFFFF"/>
              </w:rPr>
            </w:pPr>
            <w:r w:rsidRPr="00854086">
              <w:rPr>
                <w:color w:val="000000"/>
                <w:sz w:val="22"/>
                <w:szCs w:val="22"/>
                <w:shd w:val="clear" w:color="auto" w:fill="FFFFFF"/>
              </w:rPr>
              <w:t xml:space="preserve">Abnormal LFT’s – ALT </w:t>
            </w:r>
            <w:r>
              <w:rPr>
                <w:color w:val="000000"/>
                <w:sz w:val="22"/>
                <w:szCs w:val="22"/>
                <w:shd w:val="clear" w:color="auto" w:fill="FFFFFF"/>
              </w:rPr>
              <w:t>greater than 3 x</w:t>
            </w:r>
            <w:r w:rsidRPr="00854086">
              <w:rPr>
                <w:color w:val="000000"/>
                <w:sz w:val="22"/>
                <w:szCs w:val="22"/>
                <w:shd w:val="clear" w:color="auto" w:fill="FFFFFF"/>
              </w:rPr>
              <w:t xml:space="preserve"> the upper limit of normal, stop medication</w:t>
            </w:r>
            <w:r>
              <w:rPr>
                <w:color w:val="000000"/>
                <w:sz w:val="22"/>
                <w:szCs w:val="22"/>
                <w:shd w:val="clear" w:color="auto" w:fill="FFFFFF"/>
              </w:rPr>
              <w:t xml:space="preserve">, consider washout </w:t>
            </w:r>
            <w:r w:rsidRPr="00854086">
              <w:rPr>
                <w:color w:val="000000"/>
                <w:sz w:val="22"/>
                <w:szCs w:val="22"/>
                <w:shd w:val="clear" w:color="auto" w:fill="FFFFFF"/>
              </w:rPr>
              <w:t>and contact hospital specialist.</w:t>
            </w:r>
          </w:p>
          <w:p w14:paraId="448EA813" w14:textId="77777777" w:rsidR="008A4BD0" w:rsidRPr="00854086" w:rsidRDefault="008A4BD0" w:rsidP="008A4BD0">
            <w:pPr>
              <w:tabs>
                <w:tab w:val="left" w:pos="427"/>
              </w:tabs>
              <w:rPr>
                <w:b/>
                <w:sz w:val="22"/>
                <w:szCs w:val="22"/>
              </w:rPr>
            </w:pPr>
            <w:r>
              <w:rPr>
                <w:color w:val="000000"/>
                <w:sz w:val="22"/>
                <w:szCs w:val="22"/>
                <w:shd w:val="clear" w:color="auto" w:fill="FFFFFF"/>
              </w:rPr>
              <w:t xml:space="preserve">In addition, </w:t>
            </w:r>
            <w:r w:rsidRPr="00854086">
              <w:rPr>
                <w:sz w:val="22"/>
                <w:szCs w:val="22"/>
              </w:rPr>
              <w:t>Stop medication and hospital specialist if:</w:t>
            </w:r>
          </w:p>
          <w:p w14:paraId="2FD2B99E" w14:textId="77777777" w:rsidR="008A4BD0" w:rsidRPr="00702255" w:rsidRDefault="008A4BD0" w:rsidP="008A4BD0">
            <w:pPr>
              <w:numPr>
                <w:ilvl w:val="0"/>
                <w:numId w:val="11"/>
              </w:numPr>
              <w:rPr>
                <w:sz w:val="22"/>
                <w:szCs w:val="22"/>
              </w:rPr>
            </w:pPr>
            <w:r w:rsidRPr="00396947">
              <w:rPr>
                <w:sz w:val="22"/>
                <w:szCs w:val="22"/>
              </w:rPr>
              <w:t>WCC           &lt;3.5</w:t>
            </w:r>
            <w:r>
              <w:rPr>
                <w:sz w:val="22"/>
                <w:szCs w:val="22"/>
              </w:rPr>
              <w:t xml:space="preserve"> 10</w:t>
            </w:r>
            <w:r>
              <w:rPr>
                <w:sz w:val="22"/>
                <w:szCs w:val="22"/>
                <w:vertAlign w:val="superscript"/>
              </w:rPr>
              <w:t>9/</w:t>
            </w:r>
            <w:r>
              <w:rPr>
                <w:sz w:val="22"/>
                <w:szCs w:val="22"/>
              </w:rPr>
              <w:t>L</w:t>
            </w:r>
            <w:r>
              <w:t xml:space="preserve"> </w:t>
            </w:r>
            <w:r w:rsidRPr="00FF16AE">
              <w:rPr>
                <w:sz w:val="22"/>
                <w:szCs w:val="22"/>
              </w:rPr>
              <w:t xml:space="preserve">or </w:t>
            </w:r>
            <w:r>
              <w:rPr>
                <w:sz w:val="22"/>
                <w:szCs w:val="22"/>
              </w:rPr>
              <w:t xml:space="preserve">below </w:t>
            </w:r>
            <w:r w:rsidRPr="00FF16AE">
              <w:rPr>
                <w:sz w:val="22"/>
                <w:szCs w:val="22"/>
              </w:rPr>
              <w:t>local normal range</w:t>
            </w:r>
          </w:p>
          <w:p w14:paraId="4227BEA3" w14:textId="77777777" w:rsidR="008A4BD0" w:rsidRPr="00702255" w:rsidRDefault="008A4BD0" w:rsidP="008A4BD0">
            <w:pPr>
              <w:numPr>
                <w:ilvl w:val="0"/>
                <w:numId w:val="11"/>
              </w:numPr>
              <w:rPr>
                <w:sz w:val="22"/>
                <w:szCs w:val="22"/>
              </w:rPr>
            </w:pPr>
            <w:r w:rsidRPr="00396947">
              <w:rPr>
                <w:sz w:val="22"/>
                <w:szCs w:val="22"/>
              </w:rPr>
              <w:t>Neutrophils &lt; 2.0</w:t>
            </w:r>
            <w:r>
              <w:rPr>
                <w:sz w:val="22"/>
                <w:szCs w:val="22"/>
              </w:rPr>
              <w:t xml:space="preserve"> 10</w:t>
            </w:r>
            <w:r>
              <w:rPr>
                <w:sz w:val="22"/>
                <w:szCs w:val="22"/>
                <w:vertAlign w:val="superscript"/>
              </w:rPr>
              <w:t>9/</w:t>
            </w:r>
            <w:r>
              <w:rPr>
                <w:sz w:val="22"/>
                <w:szCs w:val="22"/>
              </w:rPr>
              <w:t>L</w:t>
            </w:r>
            <w:r>
              <w:t xml:space="preserve"> </w:t>
            </w:r>
            <w:r w:rsidRPr="00FF16AE">
              <w:rPr>
                <w:sz w:val="22"/>
                <w:szCs w:val="22"/>
              </w:rPr>
              <w:t xml:space="preserve">or </w:t>
            </w:r>
            <w:r>
              <w:rPr>
                <w:sz w:val="22"/>
                <w:szCs w:val="22"/>
              </w:rPr>
              <w:t xml:space="preserve">below </w:t>
            </w:r>
            <w:r w:rsidRPr="00FF16AE">
              <w:rPr>
                <w:sz w:val="22"/>
                <w:szCs w:val="22"/>
              </w:rPr>
              <w:t>local normal range</w:t>
            </w:r>
          </w:p>
          <w:p w14:paraId="09C93DB2" w14:textId="77777777" w:rsidR="008A4BD0" w:rsidRPr="00854086" w:rsidRDefault="008A4BD0" w:rsidP="008A4BD0">
            <w:pPr>
              <w:numPr>
                <w:ilvl w:val="0"/>
                <w:numId w:val="11"/>
              </w:numPr>
              <w:rPr>
                <w:sz w:val="22"/>
                <w:szCs w:val="22"/>
              </w:rPr>
            </w:pPr>
            <w:r w:rsidRPr="00396947">
              <w:rPr>
                <w:sz w:val="22"/>
                <w:szCs w:val="22"/>
              </w:rPr>
              <w:t>Platelets      &lt;150</w:t>
            </w:r>
            <w:r>
              <w:rPr>
                <w:sz w:val="22"/>
                <w:szCs w:val="22"/>
              </w:rPr>
              <w:t xml:space="preserve"> 10</w:t>
            </w:r>
            <w:r>
              <w:rPr>
                <w:sz w:val="22"/>
                <w:szCs w:val="22"/>
                <w:vertAlign w:val="superscript"/>
              </w:rPr>
              <w:t>9/</w:t>
            </w:r>
            <w:r>
              <w:rPr>
                <w:sz w:val="22"/>
                <w:szCs w:val="22"/>
              </w:rPr>
              <w:t>L</w:t>
            </w:r>
            <w:r w:rsidRPr="00854086">
              <w:rPr>
                <w:sz w:val="22"/>
                <w:szCs w:val="22"/>
              </w:rPr>
              <w:t xml:space="preserve"> </w:t>
            </w:r>
            <w:r w:rsidRPr="00FF16AE">
              <w:rPr>
                <w:sz w:val="22"/>
                <w:szCs w:val="22"/>
              </w:rPr>
              <w:t xml:space="preserve">or </w:t>
            </w:r>
            <w:r>
              <w:rPr>
                <w:sz w:val="22"/>
                <w:szCs w:val="22"/>
              </w:rPr>
              <w:t xml:space="preserve">below </w:t>
            </w:r>
            <w:r w:rsidRPr="00FF16AE">
              <w:rPr>
                <w:sz w:val="22"/>
                <w:szCs w:val="22"/>
              </w:rPr>
              <w:t>local normal range</w:t>
            </w:r>
          </w:p>
          <w:p w14:paraId="08509E46" w14:textId="77777777" w:rsidR="008A4BD0" w:rsidRPr="00730760" w:rsidRDefault="008A4BD0" w:rsidP="008A4BD0">
            <w:pPr>
              <w:numPr>
                <w:ilvl w:val="0"/>
                <w:numId w:val="10"/>
              </w:numPr>
              <w:rPr>
                <w:rFonts w:cs="Arial"/>
                <w:sz w:val="22"/>
                <w:szCs w:val="22"/>
              </w:rPr>
            </w:pPr>
            <w:r w:rsidRPr="00730760">
              <w:rPr>
                <w:rFonts w:cs="Arial"/>
                <w:sz w:val="22"/>
                <w:szCs w:val="22"/>
              </w:rPr>
              <w:t>Significant BP rise or &gt; 160/95</w:t>
            </w:r>
          </w:p>
          <w:p w14:paraId="17D49748" w14:textId="77777777" w:rsidR="008A4BD0" w:rsidRPr="006C20F0" w:rsidRDefault="008A4BD0" w:rsidP="008A4BD0">
            <w:pPr>
              <w:numPr>
                <w:ilvl w:val="0"/>
                <w:numId w:val="10"/>
              </w:numPr>
              <w:rPr>
                <w:rFonts w:cs="Arial"/>
                <w:color w:val="FF0000"/>
                <w:sz w:val="22"/>
                <w:szCs w:val="22"/>
              </w:rPr>
            </w:pPr>
            <w:r w:rsidRPr="00702255">
              <w:rPr>
                <w:rFonts w:cs="Arial"/>
                <w:sz w:val="22"/>
                <w:szCs w:val="22"/>
              </w:rPr>
              <w:t>Abdominal pain/Nausea/Diarrhoea/Weight loss</w:t>
            </w:r>
            <w:r>
              <w:rPr>
                <w:rFonts w:cs="Arial"/>
                <w:sz w:val="22"/>
                <w:szCs w:val="22"/>
              </w:rPr>
              <w:t>/Pruritis</w:t>
            </w:r>
            <w:r w:rsidRPr="00702255">
              <w:rPr>
                <w:rFonts w:cs="Arial"/>
                <w:sz w:val="22"/>
                <w:szCs w:val="22"/>
              </w:rPr>
              <w:t>/Rash/</w:t>
            </w:r>
          </w:p>
          <w:p w14:paraId="51BC734E" w14:textId="77777777" w:rsidR="008A4BD0" w:rsidRPr="00730760" w:rsidRDefault="008A4BD0" w:rsidP="008A4BD0">
            <w:pPr>
              <w:numPr>
                <w:ilvl w:val="0"/>
                <w:numId w:val="10"/>
              </w:numPr>
              <w:rPr>
                <w:rFonts w:cs="Arial"/>
                <w:color w:val="FF0000"/>
                <w:sz w:val="22"/>
                <w:szCs w:val="22"/>
              </w:rPr>
            </w:pPr>
            <w:r w:rsidRPr="00702255">
              <w:rPr>
                <w:rFonts w:cs="Arial"/>
                <w:sz w:val="22"/>
                <w:szCs w:val="22"/>
              </w:rPr>
              <w:t>Breathlessness</w:t>
            </w:r>
            <w:r>
              <w:rPr>
                <w:rFonts w:cs="Arial"/>
                <w:sz w:val="22"/>
                <w:szCs w:val="22"/>
              </w:rPr>
              <w:t xml:space="preserve"> or infection -</w:t>
            </w:r>
            <w:r w:rsidRPr="00702255">
              <w:rPr>
                <w:rFonts w:cs="Arial"/>
                <w:sz w:val="22"/>
                <w:szCs w:val="22"/>
              </w:rPr>
              <w:t xml:space="preserve"> perform CXR</w:t>
            </w:r>
            <w:r>
              <w:rPr>
                <w:rFonts w:cs="Arial"/>
                <w:sz w:val="22"/>
                <w:szCs w:val="22"/>
              </w:rPr>
              <w:t xml:space="preserve"> +/- PFT</w:t>
            </w:r>
          </w:p>
        </w:tc>
      </w:tr>
      <w:tr w:rsidR="008A4BD0" w:rsidRPr="0007010E" w14:paraId="6FAD5851" w14:textId="77777777" w:rsidTr="008A4BD0">
        <w:trPr>
          <w:trHeight w:val="386"/>
        </w:trPr>
        <w:tc>
          <w:tcPr>
            <w:tcW w:w="3240" w:type="dxa"/>
            <w:shd w:val="clear" w:color="auto" w:fill="CCFFFF"/>
          </w:tcPr>
          <w:p w14:paraId="34EEFF25" w14:textId="77777777" w:rsidR="008A4BD0" w:rsidRPr="00730760" w:rsidRDefault="008A4BD0" w:rsidP="008A4BD0">
            <w:pPr>
              <w:rPr>
                <w:rFonts w:cs="Arial"/>
                <w:sz w:val="22"/>
                <w:szCs w:val="22"/>
              </w:rPr>
            </w:pPr>
            <w:r w:rsidRPr="00730760">
              <w:rPr>
                <w:rFonts w:cs="Arial"/>
                <w:sz w:val="22"/>
                <w:szCs w:val="22"/>
              </w:rPr>
              <w:t>Assessment of Response:</w:t>
            </w:r>
          </w:p>
        </w:tc>
        <w:tc>
          <w:tcPr>
            <w:tcW w:w="7200" w:type="dxa"/>
            <w:shd w:val="clear" w:color="auto" w:fill="auto"/>
          </w:tcPr>
          <w:p w14:paraId="4FBF0EF3" w14:textId="77777777" w:rsidR="008A4BD0" w:rsidRPr="0007010E" w:rsidRDefault="008A4BD0" w:rsidP="008A4BD0">
            <w:pPr>
              <w:rPr>
                <w:rFonts w:cs="Arial"/>
                <w:sz w:val="22"/>
                <w:szCs w:val="22"/>
              </w:rPr>
            </w:pPr>
            <w:r w:rsidRPr="0007010E">
              <w:rPr>
                <w:rFonts w:cs="Arial"/>
                <w:sz w:val="22"/>
                <w:szCs w:val="22"/>
              </w:rPr>
              <w:t>Clinical effect usually within 2 to 4 months.</w:t>
            </w:r>
          </w:p>
        </w:tc>
      </w:tr>
      <w:tr w:rsidR="008A4BD0" w:rsidRPr="00730760" w14:paraId="7BCA38F8" w14:textId="77777777" w:rsidTr="008A4BD0">
        <w:trPr>
          <w:trHeight w:val="735"/>
        </w:trPr>
        <w:tc>
          <w:tcPr>
            <w:tcW w:w="3240" w:type="dxa"/>
            <w:shd w:val="clear" w:color="auto" w:fill="CCFFFF"/>
          </w:tcPr>
          <w:p w14:paraId="682205AC" w14:textId="77777777" w:rsidR="008A4BD0" w:rsidRPr="00730760" w:rsidRDefault="008A4BD0" w:rsidP="008A4BD0">
            <w:pPr>
              <w:rPr>
                <w:rFonts w:cs="Arial"/>
                <w:sz w:val="22"/>
                <w:szCs w:val="22"/>
              </w:rPr>
            </w:pPr>
            <w:r>
              <w:rPr>
                <w:rFonts w:cs="Arial"/>
                <w:sz w:val="22"/>
                <w:szCs w:val="22"/>
              </w:rPr>
              <w:t>Additional information:</w:t>
            </w:r>
          </w:p>
        </w:tc>
        <w:tc>
          <w:tcPr>
            <w:tcW w:w="7200" w:type="dxa"/>
            <w:shd w:val="clear" w:color="auto" w:fill="auto"/>
          </w:tcPr>
          <w:p w14:paraId="7C408733" w14:textId="77777777" w:rsidR="008A4BD0" w:rsidRDefault="008A4BD0" w:rsidP="008A4BD0">
            <w:pPr>
              <w:rPr>
                <w:rFonts w:cs="Arial"/>
                <w:sz w:val="22"/>
                <w:szCs w:val="22"/>
              </w:rPr>
            </w:pPr>
            <w:r>
              <w:rPr>
                <w:rFonts w:cs="Arial"/>
                <w:sz w:val="22"/>
                <w:szCs w:val="22"/>
              </w:rPr>
              <w:t>Can be associated with pulmonary toxicity (?more in East Asian Groups)</w:t>
            </w:r>
          </w:p>
          <w:p w14:paraId="528FA90F" w14:textId="77777777" w:rsidR="008A4BD0" w:rsidRDefault="008A4BD0" w:rsidP="008A4BD0">
            <w:pPr>
              <w:rPr>
                <w:rFonts w:cs="Arial"/>
                <w:sz w:val="22"/>
                <w:szCs w:val="22"/>
              </w:rPr>
            </w:pPr>
            <w:r w:rsidRPr="00AC7B0F">
              <w:rPr>
                <w:rFonts w:cs="Arial"/>
                <w:sz w:val="22"/>
                <w:szCs w:val="22"/>
              </w:rPr>
              <w:t>Live vaccines must not be administered.</w:t>
            </w:r>
          </w:p>
          <w:p w14:paraId="6C559643" w14:textId="77777777" w:rsidR="008A4BD0" w:rsidRDefault="008A4BD0" w:rsidP="008A4BD0">
            <w:pPr>
              <w:rPr>
                <w:rFonts w:cs="Arial"/>
                <w:sz w:val="22"/>
                <w:szCs w:val="22"/>
              </w:rPr>
            </w:pPr>
            <w:r>
              <w:rPr>
                <w:rFonts w:cs="Arial"/>
                <w:sz w:val="22"/>
                <w:szCs w:val="22"/>
              </w:rPr>
              <w:t>Avoidance of alcohol recommended</w:t>
            </w:r>
          </w:p>
          <w:p w14:paraId="2A72852C" w14:textId="77777777" w:rsidR="008A4BD0" w:rsidRDefault="008A4BD0" w:rsidP="008A4BD0">
            <w:pPr>
              <w:rPr>
                <w:rFonts w:cs="Arial"/>
                <w:sz w:val="22"/>
                <w:szCs w:val="22"/>
              </w:rPr>
            </w:pPr>
            <w:r w:rsidRPr="002749E2">
              <w:rPr>
                <w:rFonts w:cs="Arial"/>
                <w:sz w:val="22"/>
                <w:szCs w:val="22"/>
                <w:u w:val="single"/>
              </w:rPr>
              <w:t>Important drug interactions:</w:t>
            </w:r>
            <w:r>
              <w:rPr>
                <w:rFonts w:cs="Arial"/>
                <w:sz w:val="22"/>
                <w:szCs w:val="22"/>
              </w:rPr>
              <w:t xml:space="preserve"> hepatoxic/haemotoxic drugs,</w:t>
            </w:r>
            <w:r w:rsidRPr="00730760">
              <w:rPr>
                <w:rFonts w:cs="Arial"/>
                <w:sz w:val="22"/>
                <w:szCs w:val="22"/>
              </w:rPr>
              <w:t xml:space="preserve"> </w:t>
            </w:r>
            <w:r>
              <w:rPr>
                <w:rFonts w:cs="Arial"/>
                <w:sz w:val="22"/>
                <w:szCs w:val="22"/>
              </w:rPr>
              <w:t>c</w:t>
            </w:r>
            <w:r w:rsidRPr="00730760">
              <w:rPr>
                <w:rFonts w:cs="Arial"/>
                <w:sz w:val="22"/>
                <w:szCs w:val="22"/>
              </w:rPr>
              <w:t xml:space="preserve">holestyramine, </w:t>
            </w:r>
            <w:r>
              <w:rPr>
                <w:rFonts w:cs="Arial"/>
                <w:sz w:val="22"/>
                <w:szCs w:val="22"/>
              </w:rPr>
              <w:t>r</w:t>
            </w:r>
            <w:r w:rsidRPr="00730760">
              <w:rPr>
                <w:rFonts w:cs="Arial"/>
                <w:sz w:val="22"/>
                <w:szCs w:val="22"/>
              </w:rPr>
              <w:t xml:space="preserve">ifampicin, </w:t>
            </w:r>
            <w:r>
              <w:rPr>
                <w:rFonts w:cs="Arial"/>
                <w:sz w:val="22"/>
                <w:szCs w:val="22"/>
              </w:rPr>
              <w:t>w</w:t>
            </w:r>
            <w:r w:rsidRPr="00730760">
              <w:rPr>
                <w:rFonts w:cs="Arial"/>
                <w:sz w:val="22"/>
                <w:szCs w:val="22"/>
              </w:rPr>
              <w:t xml:space="preserve">arfarin, </w:t>
            </w:r>
            <w:r>
              <w:rPr>
                <w:rFonts w:cs="Arial"/>
                <w:sz w:val="22"/>
                <w:szCs w:val="22"/>
              </w:rPr>
              <w:t>t</w:t>
            </w:r>
            <w:r w:rsidRPr="00730760">
              <w:rPr>
                <w:rFonts w:cs="Arial"/>
                <w:sz w:val="22"/>
                <w:szCs w:val="22"/>
              </w:rPr>
              <w:t>olbutamide</w:t>
            </w:r>
            <w:r>
              <w:rPr>
                <w:rFonts w:cs="Arial"/>
                <w:sz w:val="22"/>
                <w:szCs w:val="22"/>
              </w:rPr>
              <w:t xml:space="preserve"> and phenytoin.</w:t>
            </w:r>
          </w:p>
          <w:p w14:paraId="066BB424" w14:textId="77777777" w:rsidR="008A4BD0" w:rsidRDefault="008A4BD0" w:rsidP="008A4BD0">
            <w:pPr>
              <w:rPr>
                <w:rFonts w:cs="Arial"/>
                <w:sz w:val="22"/>
                <w:szCs w:val="22"/>
              </w:rPr>
            </w:pPr>
            <w:r>
              <w:rPr>
                <w:rFonts w:cs="Arial"/>
                <w:sz w:val="22"/>
                <w:szCs w:val="22"/>
              </w:rPr>
              <w:t>Contains lactose and soya lecithin – avoid in lactose, soya or peanut allergy.</w:t>
            </w:r>
          </w:p>
          <w:p w14:paraId="6CEA83AB" w14:textId="77777777" w:rsidR="008A4BD0" w:rsidRPr="00730760" w:rsidRDefault="008A4BD0" w:rsidP="008A4BD0">
            <w:pPr>
              <w:rPr>
                <w:rFonts w:cs="Arial"/>
                <w:color w:val="FF0000"/>
                <w:sz w:val="22"/>
                <w:szCs w:val="22"/>
              </w:rPr>
            </w:pPr>
          </w:p>
        </w:tc>
      </w:tr>
      <w:tr w:rsidR="008A4BD0" w:rsidRPr="00730760" w14:paraId="54775CF8" w14:textId="77777777" w:rsidTr="008A4BD0">
        <w:tc>
          <w:tcPr>
            <w:tcW w:w="3240" w:type="dxa"/>
            <w:shd w:val="clear" w:color="auto" w:fill="CCFFFF"/>
          </w:tcPr>
          <w:p w14:paraId="39424B24" w14:textId="77777777" w:rsidR="007E73E4" w:rsidRDefault="008A4BD0" w:rsidP="007E73E4">
            <w:pPr>
              <w:rPr>
                <w:rFonts w:cs="Arial"/>
                <w:sz w:val="22"/>
                <w:szCs w:val="22"/>
              </w:rPr>
            </w:pPr>
            <w:r w:rsidRPr="00730760">
              <w:rPr>
                <w:rFonts w:cs="Arial"/>
                <w:sz w:val="22"/>
                <w:szCs w:val="22"/>
              </w:rPr>
              <w:t>Pregnancy &amp; Breastfeeding:</w:t>
            </w:r>
            <w:r w:rsidR="007E73E4">
              <w:rPr>
                <w:rFonts w:cs="Arial"/>
                <w:sz w:val="22"/>
                <w:szCs w:val="22"/>
              </w:rPr>
              <w:t xml:space="preserve"> </w:t>
            </w:r>
          </w:p>
          <w:p w14:paraId="1D712598" w14:textId="77777777" w:rsidR="007E73E4" w:rsidRDefault="007E73E4" w:rsidP="007E73E4">
            <w:pPr>
              <w:rPr>
                <w:rFonts w:cs="Arial"/>
                <w:sz w:val="22"/>
                <w:szCs w:val="22"/>
              </w:rPr>
            </w:pPr>
          </w:p>
          <w:p w14:paraId="17F87A0F" w14:textId="347C3E5C" w:rsidR="008A4BD0" w:rsidRPr="00730760" w:rsidRDefault="007E73E4" w:rsidP="007E73E4">
            <w:pPr>
              <w:rPr>
                <w:rFonts w:cs="Arial"/>
                <w:sz w:val="22"/>
                <w:szCs w:val="22"/>
              </w:rPr>
            </w:pPr>
            <w:r>
              <w:rPr>
                <w:rFonts w:cs="Arial"/>
                <w:sz w:val="22"/>
                <w:szCs w:val="22"/>
              </w:rPr>
              <w:t xml:space="preserve">(Please also refer to Section </w:t>
            </w:r>
            <w:r>
              <w:rPr>
                <w:rFonts w:cs="Arial"/>
                <w:sz w:val="22"/>
                <w:szCs w:val="22"/>
              </w:rPr>
              <w:fldChar w:fldCharType="begin"/>
            </w:r>
            <w:r>
              <w:rPr>
                <w:rFonts w:cs="Arial"/>
                <w:sz w:val="22"/>
                <w:szCs w:val="22"/>
              </w:rPr>
              <w:instrText xml:space="preserve"> REF _Ref530207962 \r \h </w:instrText>
            </w:r>
            <w:r>
              <w:rPr>
                <w:rFonts w:cs="Arial"/>
                <w:sz w:val="22"/>
                <w:szCs w:val="22"/>
              </w:rPr>
            </w:r>
            <w:r>
              <w:rPr>
                <w:rFonts w:cs="Arial"/>
                <w:sz w:val="22"/>
                <w:szCs w:val="22"/>
              </w:rPr>
              <w:fldChar w:fldCharType="separate"/>
            </w:r>
            <w:r>
              <w:rPr>
                <w:rFonts w:cs="Arial"/>
                <w:sz w:val="22"/>
                <w:szCs w:val="22"/>
              </w:rPr>
              <w:t>9</w:t>
            </w:r>
            <w:r>
              <w:rPr>
                <w:rFonts w:cs="Arial"/>
                <w:sz w:val="22"/>
                <w:szCs w:val="22"/>
              </w:rPr>
              <w:fldChar w:fldCharType="end"/>
            </w:r>
            <w:r>
              <w:rPr>
                <w:rFonts w:cs="Arial"/>
                <w:sz w:val="22"/>
                <w:szCs w:val="22"/>
              </w:rPr>
              <w:t>)</w:t>
            </w:r>
          </w:p>
        </w:tc>
        <w:tc>
          <w:tcPr>
            <w:tcW w:w="7200" w:type="dxa"/>
            <w:shd w:val="clear" w:color="auto" w:fill="auto"/>
          </w:tcPr>
          <w:p w14:paraId="709A5671" w14:textId="77777777" w:rsidR="008A4BD0" w:rsidRPr="00182453" w:rsidRDefault="008A4BD0" w:rsidP="008A4BD0">
            <w:pPr>
              <w:rPr>
                <w:rFonts w:cs="Arial"/>
                <w:sz w:val="22"/>
                <w:szCs w:val="22"/>
              </w:rPr>
            </w:pPr>
            <w:r w:rsidRPr="00182453">
              <w:rPr>
                <w:rFonts w:cs="Arial"/>
                <w:sz w:val="22"/>
                <w:szCs w:val="22"/>
              </w:rPr>
              <w:t xml:space="preserve">Females should use reliable contraceptive measures for 2 years after stopping treatment (if impracticable to wait refer to datasheet with regards to wash-out and monitoring of plasma levels). </w:t>
            </w:r>
          </w:p>
          <w:p w14:paraId="6853086E" w14:textId="67DDC6E4" w:rsidR="008A4BD0" w:rsidRPr="007E73E4" w:rsidRDefault="008A4BD0" w:rsidP="003D59D2">
            <w:pPr>
              <w:rPr>
                <w:rFonts w:cs="Arial"/>
                <w:sz w:val="22"/>
                <w:szCs w:val="22"/>
              </w:rPr>
            </w:pPr>
            <w:r w:rsidRPr="00182453">
              <w:rPr>
                <w:rFonts w:cs="Arial"/>
                <w:sz w:val="22"/>
                <w:szCs w:val="22"/>
              </w:rPr>
              <w:t xml:space="preserve">Men wishing to conceive should </w:t>
            </w:r>
            <w:r w:rsidR="003D59D2">
              <w:rPr>
                <w:rFonts w:cs="Arial"/>
                <w:sz w:val="22"/>
                <w:szCs w:val="22"/>
              </w:rPr>
              <w:t>consider a w</w:t>
            </w:r>
            <w:r w:rsidRPr="00182453">
              <w:rPr>
                <w:rFonts w:cs="Arial"/>
                <w:sz w:val="22"/>
                <w:szCs w:val="22"/>
              </w:rPr>
              <w:t xml:space="preserve">ashout – see </w:t>
            </w:r>
            <w:r w:rsidR="003D59D2">
              <w:rPr>
                <w:rFonts w:cs="Arial"/>
                <w:sz w:val="22"/>
                <w:szCs w:val="22"/>
              </w:rPr>
              <w:t>recent data suggesting this may not be necessary</w:t>
            </w:r>
          </w:p>
        </w:tc>
      </w:tr>
      <w:tr w:rsidR="008A4BD0" w:rsidRPr="00730760" w14:paraId="2D094EA5" w14:textId="77777777" w:rsidTr="008A4BD0">
        <w:tc>
          <w:tcPr>
            <w:tcW w:w="10440" w:type="dxa"/>
            <w:gridSpan w:val="2"/>
            <w:shd w:val="clear" w:color="auto" w:fill="auto"/>
          </w:tcPr>
          <w:p w14:paraId="02367D59" w14:textId="77777777" w:rsidR="008A4BD0" w:rsidRPr="00730760" w:rsidRDefault="008A4BD0" w:rsidP="008A4BD0">
            <w:pPr>
              <w:rPr>
                <w:rFonts w:cs="Arial"/>
                <w:color w:val="FF0000"/>
                <w:sz w:val="22"/>
                <w:szCs w:val="22"/>
              </w:rPr>
            </w:pPr>
            <w:r w:rsidRPr="00730760">
              <w:rPr>
                <w:sz w:val="20"/>
              </w:rPr>
              <w:t>Please refer to licensed datasheet for more comprehensive prescribing information:</w:t>
            </w:r>
          </w:p>
          <w:p w14:paraId="0CC2ECF6" w14:textId="1BE7B2F2" w:rsidR="008A4BD0" w:rsidRPr="00730760" w:rsidRDefault="00323D19" w:rsidP="00950957">
            <w:pPr>
              <w:rPr>
                <w:rFonts w:cs="Arial"/>
                <w:sz w:val="22"/>
                <w:szCs w:val="22"/>
              </w:rPr>
            </w:pPr>
            <w:hyperlink r:id="rId12" w:history="1">
              <w:r w:rsidR="008A4BD0" w:rsidRPr="00730760">
                <w:rPr>
                  <w:rStyle w:val="Hyperlink"/>
                  <w:rFonts w:cs="Arial"/>
                  <w:sz w:val="18"/>
                  <w:szCs w:val="18"/>
                </w:rPr>
                <w:t>http://www.medicines.org.uk/EMC/medicine/7480/SPC/Arava+10%2c+20+and+100mg+Tablets/</w:t>
              </w:r>
            </w:hyperlink>
          </w:p>
        </w:tc>
      </w:tr>
    </w:tbl>
    <w:p w14:paraId="0EF8405C" w14:textId="77777777" w:rsidR="001113B5" w:rsidRDefault="001113B5" w:rsidP="001113B5"/>
    <w:p w14:paraId="459CFB82" w14:textId="677E514F" w:rsidR="001113B5" w:rsidRDefault="001113B5" w:rsidP="00A87C98"/>
    <w:p w14:paraId="74023FC7" w14:textId="77777777" w:rsidR="001113B5" w:rsidRPr="001113B5" w:rsidRDefault="001113B5" w:rsidP="001113B5"/>
    <w:p w14:paraId="739F47D7" w14:textId="47CE04DA" w:rsidR="008A4BD0" w:rsidRDefault="001113B5" w:rsidP="008A4BD0">
      <w:pPr>
        <w:pStyle w:val="Heading2"/>
      </w:pPr>
      <w:bookmarkStart w:id="11" w:name="_Toc531873925"/>
      <w:r>
        <w:t>Methotrexate</w:t>
      </w:r>
      <w:bookmarkEnd w:id="11"/>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8A4BD0" w:rsidRPr="00950957" w14:paraId="4B13D35D" w14:textId="77777777" w:rsidTr="00094335">
        <w:tc>
          <w:tcPr>
            <w:tcW w:w="3240" w:type="dxa"/>
            <w:shd w:val="clear" w:color="auto" w:fill="CCFFFF"/>
          </w:tcPr>
          <w:p w14:paraId="7BEA3E56" w14:textId="77777777" w:rsidR="008A4BD0" w:rsidRPr="00950957" w:rsidRDefault="008A4BD0" w:rsidP="00094335">
            <w:pPr>
              <w:rPr>
                <w:sz w:val="22"/>
                <w:szCs w:val="22"/>
              </w:rPr>
            </w:pPr>
            <w:r w:rsidRPr="00950957">
              <w:rPr>
                <w:sz w:val="22"/>
                <w:szCs w:val="22"/>
              </w:rPr>
              <w:t>Dose:</w:t>
            </w:r>
          </w:p>
        </w:tc>
        <w:tc>
          <w:tcPr>
            <w:tcW w:w="7200" w:type="dxa"/>
            <w:shd w:val="clear" w:color="auto" w:fill="auto"/>
          </w:tcPr>
          <w:p w14:paraId="64665C1B" w14:textId="77777777" w:rsidR="008A4BD0" w:rsidRPr="00950957" w:rsidRDefault="008A4BD0" w:rsidP="00094335">
            <w:pPr>
              <w:rPr>
                <w:sz w:val="22"/>
                <w:szCs w:val="22"/>
              </w:rPr>
            </w:pPr>
            <w:r w:rsidRPr="00950957">
              <w:rPr>
                <w:sz w:val="22"/>
                <w:szCs w:val="22"/>
              </w:rPr>
              <w:t>Treatment may begin at a dose of 10-20mg WEEKLY using 2.5mg tablets and increased to 20mg after 2-4 weeks. Folic acid should be co-prescribed, but patients should be advised not to take it on the day they take their methotrexate.</w:t>
            </w:r>
          </w:p>
          <w:p w14:paraId="45E8632E" w14:textId="77777777" w:rsidR="008A4BD0" w:rsidRPr="00950957" w:rsidRDefault="008A4BD0" w:rsidP="00094335">
            <w:pPr>
              <w:rPr>
                <w:sz w:val="22"/>
                <w:szCs w:val="22"/>
              </w:rPr>
            </w:pPr>
            <w:r w:rsidRPr="00950957">
              <w:rPr>
                <w:sz w:val="22"/>
                <w:szCs w:val="22"/>
              </w:rPr>
              <w:t xml:space="preserve">The </w:t>
            </w:r>
            <w:r w:rsidRPr="00950957">
              <w:rPr>
                <w:sz w:val="22"/>
                <w:szCs w:val="22"/>
                <w:u w:val="single"/>
              </w:rPr>
              <w:t>day</w:t>
            </w:r>
            <w:r w:rsidRPr="00950957">
              <w:rPr>
                <w:sz w:val="22"/>
                <w:szCs w:val="22"/>
              </w:rPr>
              <w:t xml:space="preserve"> of administration plus </w:t>
            </w:r>
            <w:r w:rsidRPr="00950957">
              <w:rPr>
                <w:sz w:val="22"/>
                <w:szCs w:val="22"/>
                <w:u w:val="single"/>
              </w:rPr>
              <w:t>strength</w:t>
            </w:r>
            <w:r w:rsidRPr="00950957">
              <w:rPr>
                <w:sz w:val="22"/>
                <w:szCs w:val="22"/>
              </w:rPr>
              <w:t xml:space="preserve"> of tablet should be specified.</w:t>
            </w:r>
          </w:p>
          <w:p w14:paraId="7F31C0B6" w14:textId="77777777" w:rsidR="008A4BD0" w:rsidRPr="00950957" w:rsidRDefault="008A4BD0" w:rsidP="00094335">
            <w:pPr>
              <w:rPr>
                <w:sz w:val="22"/>
                <w:szCs w:val="22"/>
              </w:rPr>
            </w:pPr>
            <w:r w:rsidRPr="00950957">
              <w:rPr>
                <w:sz w:val="22"/>
                <w:szCs w:val="22"/>
              </w:rPr>
              <w:t>Consider changing to the subcutaneous route if there is gastric intolerance or a lack of efficacy at the higher end of the dose range.</w:t>
            </w:r>
          </w:p>
          <w:p w14:paraId="32BB00A0" w14:textId="77777777" w:rsidR="008A4BD0" w:rsidRPr="00950957" w:rsidRDefault="008A4BD0" w:rsidP="00094335">
            <w:pPr>
              <w:rPr>
                <w:sz w:val="22"/>
                <w:szCs w:val="22"/>
              </w:rPr>
            </w:pPr>
            <w:r w:rsidRPr="00950957">
              <w:rPr>
                <w:sz w:val="22"/>
                <w:szCs w:val="22"/>
              </w:rPr>
              <w:t xml:space="preserve">Maximum recommended dose oral or SC = 30mg weekly. </w:t>
            </w:r>
          </w:p>
        </w:tc>
      </w:tr>
      <w:tr w:rsidR="008A4BD0" w:rsidRPr="00950957" w14:paraId="53260166" w14:textId="77777777" w:rsidTr="00094335">
        <w:trPr>
          <w:trHeight w:val="90"/>
        </w:trPr>
        <w:tc>
          <w:tcPr>
            <w:tcW w:w="3240" w:type="dxa"/>
            <w:shd w:val="clear" w:color="auto" w:fill="CCFFFF"/>
          </w:tcPr>
          <w:p w14:paraId="52A07D70" w14:textId="77777777" w:rsidR="008A4BD0" w:rsidRPr="00950957" w:rsidRDefault="008A4BD0" w:rsidP="00094335">
            <w:pPr>
              <w:rPr>
                <w:sz w:val="22"/>
                <w:szCs w:val="22"/>
              </w:rPr>
            </w:pPr>
            <w:r w:rsidRPr="00950957">
              <w:rPr>
                <w:sz w:val="22"/>
                <w:szCs w:val="22"/>
              </w:rPr>
              <w:t>Baseline Tests:</w:t>
            </w:r>
          </w:p>
        </w:tc>
        <w:tc>
          <w:tcPr>
            <w:tcW w:w="7200" w:type="dxa"/>
            <w:shd w:val="clear" w:color="auto" w:fill="auto"/>
          </w:tcPr>
          <w:p w14:paraId="45A4941F" w14:textId="77777777" w:rsidR="00950957" w:rsidRDefault="008A4BD0" w:rsidP="00094335">
            <w:pPr>
              <w:rPr>
                <w:sz w:val="22"/>
                <w:szCs w:val="22"/>
              </w:rPr>
            </w:pPr>
            <w:r w:rsidRPr="00950957">
              <w:rPr>
                <w:sz w:val="22"/>
                <w:szCs w:val="22"/>
              </w:rPr>
              <w:t>FBC/U&amp;E/LFT</w:t>
            </w:r>
          </w:p>
          <w:p w14:paraId="71F905AE" w14:textId="1E05735D" w:rsidR="008A4BD0" w:rsidRPr="00950957" w:rsidRDefault="00950957" w:rsidP="00094335">
            <w:pPr>
              <w:rPr>
                <w:sz w:val="22"/>
                <w:szCs w:val="22"/>
              </w:rPr>
            </w:pPr>
            <w:r>
              <w:rPr>
                <w:sz w:val="22"/>
                <w:szCs w:val="22"/>
              </w:rPr>
              <w:t>C</w:t>
            </w:r>
            <w:r w:rsidR="008A4BD0" w:rsidRPr="00950957">
              <w:rPr>
                <w:sz w:val="22"/>
                <w:szCs w:val="22"/>
              </w:rPr>
              <w:t>onsider pregnancy test.</w:t>
            </w:r>
          </w:p>
          <w:p w14:paraId="795BD5CD" w14:textId="77777777" w:rsidR="008A4BD0" w:rsidRPr="00950957" w:rsidRDefault="008A4BD0" w:rsidP="00094335">
            <w:pPr>
              <w:rPr>
                <w:sz w:val="22"/>
                <w:szCs w:val="22"/>
              </w:rPr>
            </w:pPr>
            <w:r w:rsidRPr="00950957">
              <w:rPr>
                <w:sz w:val="22"/>
                <w:szCs w:val="22"/>
              </w:rPr>
              <w:t>All patients should have a pre-treatment CXR and consider PFT (in RA). Where TLCO less than 70% or clinical concern a baseline HRCT chest may be advisable (lung toxicity is increased when fibrosis is present).</w:t>
            </w:r>
          </w:p>
        </w:tc>
      </w:tr>
      <w:tr w:rsidR="008A4BD0" w:rsidRPr="00950957" w14:paraId="74D3C3A0" w14:textId="77777777" w:rsidTr="00094335">
        <w:trPr>
          <w:trHeight w:val="90"/>
        </w:trPr>
        <w:tc>
          <w:tcPr>
            <w:tcW w:w="3240" w:type="dxa"/>
            <w:shd w:val="clear" w:color="auto" w:fill="CCFFFF"/>
          </w:tcPr>
          <w:p w14:paraId="74107D7E" w14:textId="77777777" w:rsidR="008A4BD0" w:rsidRPr="00950957" w:rsidRDefault="008A4BD0" w:rsidP="00094335">
            <w:pPr>
              <w:rPr>
                <w:sz w:val="22"/>
                <w:szCs w:val="22"/>
              </w:rPr>
            </w:pPr>
            <w:r w:rsidRPr="00950957">
              <w:rPr>
                <w:sz w:val="22"/>
                <w:szCs w:val="22"/>
              </w:rPr>
              <w:t>Routine Monitoring:</w:t>
            </w:r>
          </w:p>
        </w:tc>
        <w:tc>
          <w:tcPr>
            <w:tcW w:w="7200" w:type="dxa"/>
            <w:shd w:val="clear" w:color="auto" w:fill="auto"/>
          </w:tcPr>
          <w:p w14:paraId="1F27BEE7" w14:textId="77777777" w:rsidR="000A3CEE" w:rsidRPr="00950957" w:rsidRDefault="000A3CEE" w:rsidP="000A3CEE">
            <w:pPr>
              <w:rPr>
                <w:sz w:val="22"/>
                <w:szCs w:val="22"/>
              </w:rPr>
            </w:pPr>
            <w:r w:rsidRPr="00950957">
              <w:rPr>
                <w:sz w:val="22"/>
                <w:szCs w:val="22"/>
              </w:rPr>
              <w:t xml:space="preserve">FBC, U&amp;Es, LFTs every 2 weeks until on stable dose for 6 weeks </w:t>
            </w:r>
          </w:p>
          <w:p w14:paraId="11340AB6" w14:textId="546E78D3" w:rsidR="000A3CEE" w:rsidRPr="00950957" w:rsidRDefault="000A3CEE" w:rsidP="000A3CEE">
            <w:pPr>
              <w:rPr>
                <w:sz w:val="22"/>
                <w:szCs w:val="22"/>
              </w:rPr>
            </w:pPr>
            <w:r w:rsidRPr="00950957">
              <w:rPr>
                <w:sz w:val="22"/>
                <w:szCs w:val="22"/>
              </w:rPr>
              <w:t>Once on stable dose, monthly for 3 months</w:t>
            </w:r>
            <w:r w:rsidR="003D59D2">
              <w:rPr>
                <w:sz w:val="22"/>
                <w:szCs w:val="22"/>
              </w:rPr>
              <w:t xml:space="preserve"> and then every 3 months</w:t>
            </w:r>
            <w:r w:rsidRPr="00950957">
              <w:rPr>
                <w:sz w:val="22"/>
                <w:szCs w:val="22"/>
              </w:rPr>
              <w:t xml:space="preserve">. </w:t>
            </w:r>
          </w:p>
          <w:p w14:paraId="4142CC53" w14:textId="0E008256" w:rsidR="008A4BD0" w:rsidRPr="00950957" w:rsidRDefault="000A3CEE" w:rsidP="000A3CEE">
            <w:pPr>
              <w:rPr>
                <w:sz w:val="22"/>
                <w:szCs w:val="22"/>
              </w:rPr>
            </w:pPr>
            <w:r w:rsidRPr="00950957">
              <w:rPr>
                <w:sz w:val="22"/>
                <w:szCs w:val="22"/>
              </w:rPr>
              <w:t xml:space="preserve">More frequent monitoring is appropriate in patients at higher risk of toxicity, or when clinically indicated </w:t>
            </w:r>
            <w:r w:rsidR="008A4BD0" w:rsidRPr="00950957">
              <w:rPr>
                <w:sz w:val="22"/>
                <w:szCs w:val="22"/>
              </w:rPr>
              <w:t xml:space="preserve">NPSA </w:t>
            </w:r>
            <w:r w:rsidR="003D59D2">
              <w:rPr>
                <w:sz w:val="22"/>
                <w:szCs w:val="22"/>
              </w:rPr>
              <w:t xml:space="preserve">recommends </w:t>
            </w:r>
            <w:r w:rsidR="008A4BD0" w:rsidRPr="00950957">
              <w:rPr>
                <w:sz w:val="22"/>
                <w:szCs w:val="22"/>
              </w:rPr>
              <w:t xml:space="preserve">MTX monitoring books for all patients </w:t>
            </w:r>
          </w:p>
          <w:p w14:paraId="3AA55C54" w14:textId="701C28DE" w:rsidR="00CA3B20" w:rsidRPr="00950957" w:rsidRDefault="00CA3B20" w:rsidP="003D59D2">
            <w:pPr>
              <w:rPr>
                <w:sz w:val="22"/>
                <w:szCs w:val="22"/>
              </w:rPr>
            </w:pPr>
            <w:r w:rsidRPr="00950957">
              <w:rPr>
                <w:rFonts w:eastAsia="Merriweather"/>
                <w:sz w:val="22"/>
                <w:szCs w:val="22"/>
              </w:rPr>
              <w:t>Dose increa</w:t>
            </w:r>
            <w:r w:rsidR="003D59D2">
              <w:rPr>
                <w:rFonts w:eastAsia="Merriweather"/>
                <w:sz w:val="22"/>
                <w:szCs w:val="22"/>
              </w:rPr>
              <w:t>ses should be monitored by FBC at 2 and 6 weeks and</w:t>
            </w:r>
            <w:r w:rsidRPr="00950957">
              <w:rPr>
                <w:rFonts w:eastAsia="Merriweather"/>
                <w:sz w:val="22"/>
                <w:szCs w:val="22"/>
              </w:rPr>
              <w:t xml:space="preserve"> then revert to previous schedule</w:t>
            </w:r>
          </w:p>
        </w:tc>
      </w:tr>
      <w:tr w:rsidR="008A4BD0" w:rsidRPr="00950957" w14:paraId="5396C005" w14:textId="77777777" w:rsidTr="00094335">
        <w:trPr>
          <w:trHeight w:val="90"/>
        </w:trPr>
        <w:tc>
          <w:tcPr>
            <w:tcW w:w="3240" w:type="dxa"/>
            <w:shd w:val="clear" w:color="auto" w:fill="CCFFFF"/>
          </w:tcPr>
          <w:p w14:paraId="7B04CB68" w14:textId="77777777" w:rsidR="008A4BD0" w:rsidRPr="00950957" w:rsidRDefault="008A4BD0" w:rsidP="00094335">
            <w:pPr>
              <w:rPr>
                <w:sz w:val="22"/>
                <w:szCs w:val="22"/>
              </w:rPr>
            </w:pPr>
            <w:r w:rsidRPr="00950957">
              <w:rPr>
                <w:sz w:val="22"/>
                <w:szCs w:val="22"/>
              </w:rPr>
              <w:t>Indications for Stopping Therapy:</w:t>
            </w:r>
          </w:p>
        </w:tc>
        <w:tc>
          <w:tcPr>
            <w:tcW w:w="7200" w:type="dxa"/>
            <w:shd w:val="clear" w:color="auto" w:fill="auto"/>
          </w:tcPr>
          <w:p w14:paraId="01FC3F69" w14:textId="77777777" w:rsidR="008A4BD0" w:rsidRPr="00950957" w:rsidRDefault="008A4BD0" w:rsidP="00094335">
            <w:pPr>
              <w:rPr>
                <w:rFonts w:cs="Arial"/>
                <w:b/>
                <w:sz w:val="22"/>
                <w:szCs w:val="22"/>
              </w:rPr>
            </w:pPr>
            <w:r w:rsidRPr="00950957">
              <w:rPr>
                <w:rFonts w:cs="Arial"/>
                <w:b/>
                <w:sz w:val="22"/>
                <w:szCs w:val="22"/>
              </w:rPr>
              <w:t>Stop medication and contact local rheumatology service if:</w:t>
            </w:r>
          </w:p>
          <w:p w14:paraId="45193E8A" w14:textId="77777777" w:rsidR="008A4BD0" w:rsidRPr="00950957" w:rsidRDefault="008A4BD0" w:rsidP="00094335">
            <w:pPr>
              <w:rPr>
                <w:sz w:val="22"/>
                <w:szCs w:val="22"/>
              </w:rPr>
            </w:pPr>
            <w:r w:rsidRPr="00950957">
              <w:rPr>
                <w:sz w:val="22"/>
                <w:szCs w:val="22"/>
              </w:rPr>
              <w:t>WCC           &lt;3.5 10</w:t>
            </w:r>
            <w:r w:rsidRPr="00950957">
              <w:rPr>
                <w:sz w:val="22"/>
                <w:szCs w:val="22"/>
                <w:vertAlign w:val="superscript"/>
              </w:rPr>
              <w:t>9/</w:t>
            </w:r>
            <w:r w:rsidRPr="00950957">
              <w:rPr>
                <w:sz w:val="22"/>
                <w:szCs w:val="22"/>
              </w:rPr>
              <w:t>L or below local normal range</w:t>
            </w:r>
          </w:p>
          <w:p w14:paraId="74811218" w14:textId="77777777" w:rsidR="008A4BD0" w:rsidRPr="00950957" w:rsidRDefault="008A4BD0" w:rsidP="00094335">
            <w:pPr>
              <w:rPr>
                <w:sz w:val="22"/>
                <w:szCs w:val="22"/>
              </w:rPr>
            </w:pPr>
            <w:r w:rsidRPr="00950957">
              <w:rPr>
                <w:sz w:val="22"/>
                <w:szCs w:val="22"/>
              </w:rPr>
              <w:t>Neutrophils &lt; 2.0 10</w:t>
            </w:r>
            <w:r w:rsidRPr="00950957">
              <w:rPr>
                <w:sz w:val="22"/>
                <w:szCs w:val="22"/>
                <w:vertAlign w:val="superscript"/>
              </w:rPr>
              <w:t>9/</w:t>
            </w:r>
            <w:r w:rsidRPr="00950957">
              <w:rPr>
                <w:sz w:val="22"/>
                <w:szCs w:val="22"/>
              </w:rPr>
              <w:t>L or below local normal range</w:t>
            </w:r>
          </w:p>
          <w:p w14:paraId="16A00B06" w14:textId="77777777" w:rsidR="008A4BD0" w:rsidRPr="00950957" w:rsidRDefault="008A4BD0" w:rsidP="00094335">
            <w:pPr>
              <w:rPr>
                <w:sz w:val="22"/>
                <w:szCs w:val="22"/>
              </w:rPr>
            </w:pPr>
            <w:r w:rsidRPr="00950957">
              <w:rPr>
                <w:sz w:val="22"/>
                <w:szCs w:val="22"/>
              </w:rPr>
              <w:t>Platelets      &lt;150 10</w:t>
            </w:r>
            <w:r w:rsidRPr="00950957">
              <w:rPr>
                <w:sz w:val="22"/>
                <w:szCs w:val="22"/>
                <w:vertAlign w:val="superscript"/>
              </w:rPr>
              <w:t>9/</w:t>
            </w:r>
            <w:r w:rsidRPr="00950957">
              <w:rPr>
                <w:sz w:val="22"/>
                <w:szCs w:val="22"/>
              </w:rPr>
              <w:t>L or below local normal range</w:t>
            </w:r>
          </w:p>
          <w:p w14:paraId="14D392AA" w14:textId="77777777" w:rsidR="008A4BD0" w:rsidRPr="00950957" w:rsidRDefault="008A4BD0" w:rsidP="00094335">
            <w:pPr>
              <w:rPr>
                <w:sz w:val="22"/>
                <w:szCs w:val="22"/>
              </w:rPr>
            </w:pPr>
            <w:r w:rsidRPr="00950957">
              <w:rPr>
                <w:sz w:val="22"/>
                <w:szCs w:val="22"/>
              </w:rPr>
              <w:t>AST or ALT &gt; 3 times normal range (iu/L)</w:t>
            </w:r>
          </w:p>
          <w:p w14:paraId="13AE410D" w14:textId="77777777" w:rsidR="008A4BD0" w:rsidRPr="00950957" w:rsidRDefault="008A4BD0" w:rsidP="00094335">
            <w:pPr>
              <w:rPr>
                <w:rFonts w:cs="Arial"/>
                <w:sz w:val="22"/>
                <w:szCs w:val="22"/>
              </w:rPr>
            </w:pPr>
            <w:r w:rsidRPr="00950957">
              <w:rPr>
                <w:rFonts w:cs="Arial"/>
                <w:sz w:val="22"/>
                <w:szCs w:val="22"/>
              </w:rPr>
              <w:t>Oral ulceration/Unusual bruising/Rash/Nausea/Alopecia</w:t>
            </w:r>
          </w:p>
          <w:p w14:paraId="1F025988" w14:textId="77777777" w:rsidR="008A4BD0" w:rsidRPr="00950957" w:rsidRDefault="008A4BD0" w:rsidP="00094335">
            <w:pPr>
              <w:rPr>
                <w:rFonts w:cs="Arial"/>
                <w:sz w:val="22"/>
                <w:szCs w:val="22"/>
              </w:rPr>
            </w:pPr>
            <w:r w:rsidRPr="00950957">
              <w:rPr>
                <w:rFonts w:cs="Arial"/>
                <w:sz w:val="22"/>
                <w:szCs w:val="22"/>
              </w:rPr>
              <w:t>Any new respiratory symptoms including cough</w:t>
            </w:r>
          </w:p>
          <w:p w14:paraId="383166A9" w14:textId="77777777" w:rsidR="008A4BD0" w:rsidRPr="00950957" w:rsidRDefault="008A4BD0" w:rsidP="00094335">
            <w:pPr>
              <w:rPr>
                <w:rFonts w:cs="Arial"/>
                <w:sz w:val="22"/>
                <w:szCs w:val="22"/>
              </w:rPr>
            </w:pPr>
            <w:r w:rsidRPr="00950957">
              <w:rPr>
                <w:rFonts w:cs="Arial"/>
                <w:sz w:val="22"/>
                <w:szCs w:val="22"/>
              </w:rPr>
              <w:t>Fever</w:t>
            </w:r>
          </w:p>
          <w:p w14:paraId="5A3C3A55" w14:textId="77777777" w:rsidR="008A4BD0" w:rsidRPr="00950957" w:rsidRDefault="008A4BD0" w:rsidP="00094335">
            <w:pPr>
              <w:rPr>
                <w:sz w:val="22"/>
                <w:szCs w:val="22"/>
              </w:rPr>
            </w:pPr>
            <w:r w:rsidRPr="00950957">
              <w:rPr>
                <w:rFonts w:cs="Arial"/>
                <w:b/>
                <w:sz w:val="22"/>
                <w:szCs w:val="22"/>
              </w:rPr>
              <w:t>Consider the need for folinic acid rescue - refer to BNF for dosage recommendations and discuss with Rheumatology Service.</w:t>
            </w:r>
          </w:p>
        </w:tc>
      </w:tr>
      <w:tr w:rsidR="008A4BD0" w:rsidRPr="00950957" w14:paraId="5D4BB641" w14:textId="77777777" w:rsidTr="00094335">
        <w:trPr>
          <w:trHeight w:val="90"/>
        </w:trPr>
        <w:tc>
          <w:tcPr>
            <w:tcW w:w="3240" w:type="dxa"/>
            <w:shd w:val="clear" w:color="auto" w:fill="CCFFFF"/>
          </w:tcPr>
          <w:p w14:paraId="5951644B" w14:textId="77777777" w:rsidR="008A4BD0" w:rsidRPr="00950957" w:rsidRDefault="008A4BD0" w:rsidP="00094335">
            <w:pPr>
              <w:rPr>
                <w:sz w:val="22"/>
                <w:szCs w:val="22"/>
              </w:rPr>
            </w:pPr>
            <w:r w:rsidRPr="00950957">
              <w:rPr>
                <w:sz w:val="22"/>
                <w:szCs w:val="22"/>
              </w:rPr>
              <w:t>Assessment of Response:</w:t>
            </w:r>
          </w:p>
        </w:tc>
        <w:tc>
          <w:tcPr>
            <w:tcW w:w="7200" w:type="dxa"/>
            <w:shd w:val="clear" w:color="auto" w:fill="auto"/>
          </w:tcPr>
          <w:p w14:paraId="22818157" w14:textId="77777777" w:rsidR="008A4BD0" w:rsidRPr="00950957" w:rsidRDefault="008A4BD0" w:rsidP="00094335">
            <w:pPr>
              <w:rPr>
                <w:sz w:val="22"/>
                <w:szCs w:val="22"/>
              </w:rPr>
            </w:pPr>
            <w:r w:rsidRPr="00950957">
              <w:rPr>
                <w:rFonts w:cs="Arial"/>
                <w:sz w:val="22"/>
                <w:szCs w:val="22"/>
              </w:rPr>
              <w:t>Clinical effect usually within 2 to 4 months.</w:t>
            </w:r>
          </w:p>
        </w:tc>
      </w:tr>
      <w:tr w:rsidR="008A4BD0" w:rsidRPr="00950957" w14:paraId="18908570" w14:textId="77777777" w:rsidTr="00094335">
        <w:trPr>
          <w:trHeight w:val="90"/>
        </w:trPr>
        <w:tc>
          <w:tcPr>
            <w:tcW w:w="3240" w:type="dxa"/>
            <w:shd w:val="clear" w:color="auto" w:fill="CCFFFF"/>
          </w:tcPr>
          <w:p w14:paraId="3C9BB8AD" w14:textId="77777777" w:rsidR="008A4BD0" w:rsidRPr="00950957" w:rsidRDefault="008A4BD0" w:rsidP="00094335">
            <w:pPr>
              <w:rPr>
                <w:sz w:val="22"/>
                <w:szCs w:val="22"/>
              </w:rPr>
            </w:pPr>
            <w:r w:rsidRPr="00950957">
              <w:rPr>
                <w:sz w:val="22"/>
                <w:szCs w:val="22"/>
              </w:rPr>
              <w:t>Additional information:</w:t>
            </w:r>
          </w:p>
        </w:tc>
        <w:tc>
          <w:tcPr>
            <w:tcW w:w="7200" w:type="dxa"/>
            <w:shd w:val="clear" w:color="auto" w:fill="auto"/>
          </w:tcPr>
          <w:p w14:paraId="3D088F41" w14:textId="77777777" w:rsidR="008A4BD0" w:rsidRPr="00950957" w:rsidRDefault="008A4BD0" w:rsidP="00094335">
            <w:pPr>
              <w:rPr>
                <w:b/>
                <w:sz w:val="22"/>
                <w:szCs w:val="22"/>
              </w:rPr>
            </w:pPr>
            <w:r w:rsidRPr="00950957">
              <w:rPr>
                <w:b/>
                <w:sz w:val="22"/>
                <w:szCs w:val="22"/>
              </w:rPr>
              <w:t>Warnings/Caution:</w:t>
            </w:r>
          </w:p>
          <w:p w14:paraId="0C6C7241" w14:textId="77777777" w:rsidR="008A4BD0" w:rsidRPr="00950957" w:rsidRDefault="008A4BD0" w:rsidP="00094335">
            <w:pPr>
              <w:rPr>
                <w:sz w:val="22"/>
                <w:szCs w:val="22"/>
              </w:rPr>
            </w:pPr>
            <w:r w:rsidRPr="00950957">
              <w:rPr>
                <w:sz w:val="22"/>
                <w:szCs w:val="22"/>
              </w:rPr>
              <w:t>Avoid in significant hepatic impairment</w:t>
            </w:r>
          </w:p>
          <w:p w14:paraId="3767DF96" w14:textId="77777777" w:rsidR="008A4BD0" w:rsidRPr="00950957" w:rsidRDefault="008A4BD0" w:rsidP="00094335">
            <w:pPr>
              <w:rPr>
                <w:sz w:val="22"/>
                <w:szCs w:val="22"/>
              </w:rPr>
            </w:pPr>
            <w:r w:rsidRPr="00950957">
              <w:rPr>
                <w:sz w:val="22"/>
                <w:szCs w:val="22"/>
              </w:rPr>
              <w:t xml:space="preserve">Not recommended in severe renal impairment (creatinine clearance &lt;10ml/min) the dose should be reduced by 50% if the CrCl is between 10-20ml/min. Also consider dose reduction if CrCl 20-50ml/min. </w:t>
            </w:r>
          </w:p>
          <w:p w14:paraId="26F94B45" w14:textId="77777777" w:rsidR="008A4BD0" w:rsidRPr="00950957" w:rsidRDefault="008A4BD0" w:rsidP="00094335">
            <w:pPr>
              <w:rPr>
                <w:sz w:val="22"/>
                <w:szCs w:val="22"/>
              </w:rPr>
            </w:pPr>
            <w:r w:rsidRPr="00950957">
              <w:rPr>
                <w:sz w:val="22"/>
                <w:szCs w:val="22"/>
              </w:rPr>
              <w:t>Caution when pre-existing haematological condition</w:t>
            </w:r>
          </w:p>
          <w:p w14:paraId="44C95E5F" w14:textId="3C074DAC" w:rsidR="008A4BD0" w:rsidRPr="00950957" w:rsidRDefault="008A4BD0" w:rsidP="00094335">
            <w:pPr>
              <w:rPr>
                <w:sz w:val="22"/>
                <w:szCs w:val="22"/>
              </w:rPr>
            </w:pPr>
            <w:r w:rsidRPr="00950957">
              <w:rPr>
                <w:sz w:val="22"/>
                <w:szCs w:val="22"/>
              </w:rPr>
              <w:t>Caution -</w:t>
            </w:r>
            <w:r w:rsidR="00950957">
              <w:rPr>
                <w:sz w:val="22"/>
                <w:szCs w:val="22"/>
              </w:rPr>
              <w:t xml:space="preserve"> underlying chest disease</w:t>
            </w:r>
          </w:p>
          <w:p w14:paraId="7C364736" w14:textId="77777777" w:rsidR="008A4BD0" w:rsidRPr="00950957" w:rsidRDefault="008A4BD0" w:rsidP="00094335">
            <w:pPr>
              <w:rPr>
                <w:sz w:val="22"/>
                <w:szCs w:val="22"/>
              </w:rPr>
            </w:pPr>
            <w:r w:rsidRPr="00950957">
              <w:rPr>
                <w:sz w:val="22"/>
                <w:szCs w:val="22"/>
              </w:rPr>
              <w:t>Where history of excessive alcohol intake</w:t>
            </w:r>
          </w:p>
          <w:p w14:paraId="4956E79D" w14:textId="77777777" w:rsidR="008A4BD0" w:rsidRPr="00950957" w:rsidRDefault="008A4BD0" w:rsidP="00094335">
            <w:pPr>
              <w:rPr>
                <w:b/>
                <w:sz w:val="22"/>
                <w:szCs w:val="22"/>
              </w:rPr>
            </w:pPr>
            <w:r w:rsidRPr="00950957">
              <w:rPr>
                <w:b/>
                <w:sz w:val="22"/>
                <w:szCs w:val="22"/>
              </w:rPr>
              <w:t>Drug interactions:</w:t>
            </w:r>
          </w:p>
          <w:p w14:paraId="76CD06A0" w14:textId="77777777" w:rsidR="008A4BD0" w:rsidRPr="00950957" w:rsidRDefault="008A4BD0" w:rsidP="00094335">
            <w:pPr>
              <w:rPr>
                <w:sz w:val="22"/>
                <w:szCs w:val="22"/>
              </w:rPr>
            </w:pPr>
            <w:r w:rsidRPr="00950957">
              <w:rPr>
                <w:sz w:val="22"/>
                <w:szCs w:val="22"/>
              </w:rPr>
              <w:t>Concomitant administration of folate antagonists such as trimethoprim, cotrimoxazole and nitrous oxide should be avoided</w:t>
            </w:r>
          </w:p>
          <w:p w14:paraId="32843092" w14:textId="77777777" w:rsidR="008A4BD0" w:rsidRPr="00950957" w:rsidRDefault="008A4BD0" w:rsidP="00094335">
            <w:pPr>
              <w:rPr>
                <w:sz w:val="22"/>
                <w:szCs w:val="22"/>
              </w:rPr>
            </w:pPr>
            <w:r w:rsidRPr="00950957">
              <w:rPr>
                <w:sz w:val="22"/>
                <w:szCs w:val="22"/>
              </w:rPr>
              <w:t>Penicillins may potentiate levels of methotrexate (</w:t>
            </w:r>
            <w:r w:rsidRPr="00950957">
              <w:rPr>
                <w:rFonts w:cs="Arial"/>
                <w:sz w:val="22"/>
                <w:szCs w:val="22"/>
              </w:rPr>
              <w:t>Patients should stop taking methotrexate if they have any infection/require antibiotics and restart once the antibiotic course is completed and the infection has resolved</w:t>
            </w:r>
            <w:r w:rsidRPr="00950957">
              <w:rPr>
                <w:sz w:val="22"/>
                <w:szCs w:val="22"/>
              </w:rPr>
              <w:t>)</w:t>
            </w:r>
          </w:p>
          <w:p w14:paraId="1448220A" w14:textId="77777777" w:rsidR="008A4BD0" w:rsidRPr="00950957" w:rsidRDefault="008A4BD0" w:rsidP="00094335">
            <w:pPr>
              <w:rPr>
                <w:sz w:val="22"/>
                <w:szCs w:val="22"/>
              </w:rPr>
            </w:pPr>
            <w:r w:rsidRPr="00950957">
              <w:rPr>
                <w:sz w:val="22"/>
                <w:szCs w:val="22"/>
              </w:rPr>
              <w:t>Acitretin - severe hepatitis reported when combined with MTX</w:t>
            </w:r>
          </w:p>
          <w:p w14:paraId="2E4E9AAC" w14:textId="77777777" w:rsidR="008A4BD0" w:rsidRPr="00950957" w:rsidRDefault="008A4BD0" w:rsidP="00094335">
            <w:pPr>
              <w:rPr>
                <w:sz w:val="22"/>
                <w:szCs w:val="22"/>
              </w:rPr>
            </w:pPr>
            <w:r w:rsidRPr="00950957">
              <w:rPr>
                <w:sz w:val="22"/>
                <w:szCs w:val="22"/>
              </w:rPr>
              <w:t>Vitamin preparations containing folic acid</w:t>
            </w:r>
          </w:p>
        </w:tc>
      </w:tr>
      <w:tr w:rsidR="008A4BD0" w:rsidRPr="00950957" w14:paraId="3243B04F" w14:textId="77777777" w:rsidTr="00094335">
        <w:tc>
          <w:tcPr>
            <w:tcW w:w="10440" w:type="dxa"/>
            <w:gridSpan w:val="2"/>
            <w:shd w:val="clear" w:color="auto" w:fill="auto"/>
          </w:tcPr>
          <w:p w14:paraId="034EF7FE" w14:textId="77777777" w:rsidR="008A4BD0" w:rsidRPr="00950957" w:rsidRDefault="008A4BD0" w:rsidP="00094335">
            <w:pPr>
              <w:rPr>
                <w:sz w:val="22"/>
                <w:szCs w:val="22"/>
              </w:rPr>
            </w:pPr>
            <w:r w:rsidRPr="00950957">
              <w:rPr>
                <w:sz w:val="22"/>
                <w:szCs w:val="22"/>
              </w:rPr>
              <w:t>Please refer to licensed datasheet for more comprehensive prescribing information:</w:t>
            </w:r>
          </w:p>
          <w:p w14:paraId="078C73D0" w14:textId="77777777" w:rsidR="008A4BD0" w:rsidRPr="00950957" w:rsidRDefault="00323D19" w:rsidP="00094335">
            <w:pPr>
              <w:rPr>
                <w:sz w:val="22"/>
                <w:szCs w:val="22"/>
              </w:rPr>
            </w:pPr>
            <w:hyperlink r:id="rId13" w:history="1">
              <w:r w:rsidR="008A4BD0" w:rsidRPr="00950957">
                <w:rPr>
                  <w:rStyle w:val="Hyperlink"/>
                  <w:sz w:val="22"/>
                  <w:szCs w:val="22"/>
                </w:rPr>
                <w:t>http://www.medicines.org.uk/EMC/medicine/6005/SPC/Maxtrex+Tablets+10+mg/</w:t>
              </w:r>
            </w:hyperlink>
          </w:p>
        </w:tc>
      </w:tr>
    </w:tbl>
    <w:p w14:paraId="591E1411" w14:textId="77777777" w:rsidR="008A4BD0" w:rsidRDefault="008A4BD0" w:rsidP="008A4BD0">
      <w:pPr>
        <w:rPr>
          <w:rFonts w:eastAsia="Arial Unicode MS"/>
        </w:rPr>
        <w:sectPr w:rsidR="008A4BD0">
          <w:footerReference w:type="default" r:id="rId14"/>
          <w:pgSz w:w="11906" w:h="16838"/>
          <w:pgMar w:top="1440" w:right="1440" w:bottom="1440" w:left="1440" w:header="708" w:footer="708" w:gutter="0"/>
          <w:cols w:space="708"/>
          <w:docGrid w:linePitch="360"/>
        </w:sectPr>
      </w:pPr>
    </w:p>
    <w:p w14:paraId="2DD5BE17" w14:textId="6DED1AA7" w:rsidR="008A4BD0" w:rsidRDefault="001113B5" w:rsidP="008A4BD0">
      <w:pPr>
        <w:pStyle w:val="Heading2"/>
      </w:pPr>
      <w:bookmarkStart w:id="12" w:name="_Toc531873926"/>
      <w:r w:rsidRPr="00730760">
        <w:lastRenderedPageBreak/>
        <w:t>Mycophenolate mofetil</w:t>
      </w:r>
      <w:bookmarkEnd w:id="12"/>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8A4BD0" w:rsidRPr="007D4C1E" w14:paraId="7AC80171" w14:textId="77777777" w:rsidTr="00094335">
        <w:tc>
          <w:tcPr>
            <w:tcW w:w="3240" w:type="dxa"/>
            <w:shd w:val="clear" w:color="auto" w:fill="CCFFFF"/>
          </w:tcPr>
          <w:p w14:paraId="7E568BA8" w14:textId="33AE5A48" w:rsidR="008A4BD0" w:rsidRPr="007D4C1E" w:rsidRDefault="008A4BD0" w:rsidP="00094335">
            <w:pPr>
              <w:rPr>
                <w:sz w:val="22"/>
                <w:szCs w:val="22"/>
              </w:rPr>
            </w:pPr>
            <w:r w:rsidRPr="007D4C1E">
              <w:rPr>
                <w:rFonts w:eastAsia="Arial Unicode MS"/>
                <w:sz w:val="22"/>
                <w:szCs w:val="22"/>
              </w:rPr>
              <w:br w:type="page"/>
            </w:r>
            <w:r w:rsidRPr="007D4C1E">
              <w:rPr>
                <w:sz w:val="22"/>
                <w:szCs w:val="22"/>
              </w:rPr>
              <w:t>Dose:</w:t>
            </w:r>
          </w:p>
        </w:tc>
        <w:tc>
          <w:tcPr>
            <w:tcW w:w="7200" w:type="dxa"/>
            <w:shd w:val="clear" w:color="auto" w:fill="auto"/>
          </w:tcPr>
          <w:p w14:paraId="5938ABC8" w14:textId="092C7E76" w:rsidR="008A4BD0" w:rsidRPr="007D4C1E" w:rsidRDefault="008A4BD0" w:rsidP="00094335">
            <w:pPr>
              <w:rPr>
                <w:sz w:val="22"/>
                <w:szCs w:val="22"/>
              </w:rPr>
            </w:pPr>
            <w:r w:rsidRPr="007D4C1E">
              <w:rPr>
                <w:sz w:val="22"/>
                <w:szCs w:val="22"/>
              </w:rPr>
              <w:t>In connective tissue disease –</w:t>
            </w:r>
            <w:r w:rsidR="007D4C1E" w:rsidRPr="007D4C1E">
              <w:rPr>
                <w:sz w:val="22"/>
                <w:szCs w:val="22"/>
              </w:rPr>
              <w:t xml:space="preserve"> usual</w:t>
            </w:r>
            <w:r w:rsidRPr="007D4C1E">
              <w:rPr>
                <w:sz w:val="22"/>
                <w:szCs w:val="22"/>
              </w:rPr>
              <w:t xml:space="preserve"> starting dose </w:t>
            </w:r>
            <w:r w:rsidR="003D59D2">
              <w:rPr>
                <w:sz w:val="22"/>
                <w:szCs w:val="22"/>
              </w:rPr>
              <w:t>is 500mg twice daily for 2 weeks and then 1g twice daily</w:t>
            </w:r>
            <w:r w:rsidRPr="007D4C1E">
              <w:rPr>
                <w:sz w:val="22"/>
                <w:szCs w:val="22"/>
              </w:rPr>
              <w:t>. If there is gastric intolerance considering giving as 500mg four times a day. If indicated the dose may be increased to 1.5g twice a day (max 40mg/kg/day).</w:t>
            </w:r>
          </w:p>
          <w:p w14:paraId="6E230C51" w14:textId="77777777" w:rsidR="008A4BD0" w:rsidRPr="007D4C1E" w:rsidRDefault="008A4BD0" w:rsidP="00094335">
            <w:pPr>
              <w:rPr>
                <w:sz w:val="22"/>
                <w:szCs w:val="22"/>
              </w:rPr>
            </w:pPr>
            <w:r w:rsidRPr="007D4C1E">
              <w:rPr>
                <w:b/>
                <w:sz w:val="22"/>
                <w:szCs w:val="22"/>
              </w:rPr>
              <w:t xml:space="preserve">Renal impairment: </w:t>
            </w:r>
            <w:r w:rsidRPr="007D4C1E">
              <w:rPr>
                <w:sz w:val="22"/>
                <w:szCs w:val="22"/>
              </w:rPr>
              <w:t>If GFR &lt;25ml/min commence on 250mg bd and gradually titrate, not exceeding 1g bd.</w:t>
            </w:r>
          </w:p>
          <w:p w14:paraId="519C7882" w14:textId="5967E8B7" w:rsidR="008A4BD0" w:rsidRPr="007D4C1E" w:rsidRDefault="008A4BD0" w:rsidP="007D4C1E">
            <w:pPr>
              <w:rPr>
                <w:sz w:val="22"/>
                <w:szCs w:val="22"/>
              </w:rPr>
            </w:pPr>
            <w:r w:rsidRPr="007D4C1E">
              <w:rPr>
                <w:sz w:val="22"/>
                <w:szCs w:val="22"/>
              </w:rPr>
              <w:t>Note: The dose of mycophenolic acid (Myfortic®) is not equivalent; 720mg of mycophenolic acid is approximately equivalent to 1g of mycophenolate mofetil.</w:t>
            </w:r>
            <w:r w:rsidR="007D4C1E">
              <w:rPr>
                <w:sz w:val="22"/>
                <w:szCs w:val="22"/>
              </w:rPr>
              <w:t xml:space="preserve"> Where possible, maintain the same generic when prescribing</w:t>
            </w:r>
          </w:p>
        </w:tc>
      </w:tr>
      <w:tr w:rsidR="008A4BD0" w:rsidRPr="007D4C1E" w14:paraId="31731FB3" w14:textId="77777777" w:rsidTr="00094335">
        <w:tc>
          <w:tcPr>
            <w:tcW w:w="3240" w:type="dxa"/>
            <w:shd w:val="clear" w:color="auto" w:fill="CCFFFF"/>
          </w:tcPr>
          <w:p w14:paraId="65EC53AB" w14:textId="77777777" w:rsidR="008A4BD0" w:rsidRPr="007D4C1E" w:rsidRDefault="008A4BD0" w:rsidP="00094335">
            <w:pPr>
              <w:rPr>
                <w:sz w:val="22"/>
                <w:szCs w:val="22"/>
              </w:rPr>
            </w:pPr>
            <w:r w:rsidRPr="007D4C1E">
              <w:rPr>
                <w:sz w:val="22"/>
                <w:szCs w:val="22"/>
              </w:rPr>
              <w:t>Baseline tests:</w:t>
            </w:r>
          </w:p>
        </w:tc>
        <w:tc>
          <w:tcPr>
            <w:tcW w:w="7200" w:type="dxa"/>
            <w:shd w:val="clear" w:color="auto" w:fill="auto"/>
          </w:tcPr>
          <w:p w14:paraId="780058B9" w14:textId="77777777" w:rsidR="008A4BD0" w:rsidRPr="007D4C1E" w:rsidRDefault="008A4BD0" w:rsidP="00094335">
            <w:pPr>
              <w:rPr>
                <w:sz w:val="22"/>
                <w:szCs w:val="22"/>
              </w:rPr>
            </w:pPr>
            <w:r w:rsidRPr="007D4C1E">
              <w:rPr>
                <w:sz w:val="22"/>
                <w:szCs w:val="22"/>
              </w:rPr>
              <w:t xml:space="preserve">FBC/U&amp;E/LFT/lipids and BP </w:t>
            </w:r>
          </w:p>
          <w:p w14:paraId="3CF03E79" w14:textId="46878B71" w:rsidR="007D4C1E" w:rsidRPr="007D4C1E" w:rsidRDefault="007D4C1E" w:rsidP="007D4C1E">
            <w:pPr>
              <w:rPr>
                <w:sz w:val="22"/>
                <w:szCs w:val="22"/>
              </w:rPr>
            </w:pPr>
            <w:r>
              <w:rPr>
                <w:sz w:val="22"/>
                <w:szCs w:val="22"/>
              </w:rPr>
              <w:t>Consider Hepatitis B/</w:t>
            </w:r>
            <w:r w:rsidRPr="007D4C1E">
              <w:rPr>
                <w:sz w:val="22"/>
                <w:szCs w:val="22"/>
              </w:rPr>
              <w:t>C</w:t>
            </w:r>
            <w:r>
              <w:rPr>
                <w:sz w:val="22"/>
                <w:szCs w:val="22"/>
              </w:rPr>
              <w:t>/HIV</w:t>
            </w:r>
          </w:p>
          <w:p w14:paraId="4058A0B3" w14:textId="78708D04" w:rsidR="008A4BD0" w:rsidRPr="007D4C1E" w:rsidRDefault="007D4C1E" w:rsidP="00094335">
            <w:pPr>
              <w:rPr>
                <w:sz w:val="22"/>
                <w:szCs w:val="22"/>
              </w:rPr>
            </w:pPr>
            <w:r w:rsidRPr="007D4C1E">
              <w:rPr>
                <w:sz w:val="22"/>
                <w:szCs w:val="22"/>
              </w:rPr>
              <w:t>Varicella immune status (avoid if re-current herpes/shingles)</w:t>
            </w:r>
          </w:p>
          <w:p w14:paraId="2319D7A8" w14:textId="77777777" w:rsidR="008A4BD0" w:rsidRPr="007D4C1E" w:rsidRDefault="008A4BD0" w:rsidP="00094335">
            <w:pPr>
              <w:rPr>
                <w:sz w:val="22"/>
                <w:szCs w:val="22"/>
              </w:rPr>
            </w:pPr>
            <w:r w:rsidRPr="007D4C1E">
              <w:rPr>
                <w:sz w:val="22"/>
                <w:szCs w:val="22"/>
              </w:rPr>
              <w:t>Consider Pregnancy Test</w:t>
            </w:r>
          </w:p>
        </w:tc>
      </w:tr>
      <w:tr w:rsidR="008A4BD0" w:rsidRPr="007D4C1E" w14:paraId="6717C28B" w14:textId="77777777" w:rsidTr="00094335">
        <w:tc>
          <w:tcPr>
            <w:tcW w:w="3240" w:type="dxa"/>
            <w:shd w:val="clear" w:color="auto" w:fill="CCFFFF"/>
          </w:tcPr>
          <w:p w14:paraId="2893DD70" w14:textId="77777777" w:rsidR="008A4BD0" w:rsidRPr="007D4C1E" w:rsidRDefault="008A4BD0" w:rsidP="00094335">
            <w:pPr>
              <w:rPr>
                <w:sz w:val="22"/>
                <w:szCs w:val="22"/>
              </w:rPr>
            </w:pPr>
            <w:r w:rsidRPr="007D4C1E">
              <w:rPr>
                <w:sz w:val="22"/>
                <w:szCs w:val="22"/>
              </w:rPr>
              <w:t>Routine monitoring:</w:t>
            </w:r>
          </w:p>
        </w:tc>
        <w:tc>
          <w:tcPr>
            <w:tcW w:w="7200" w:type="dxa"/>
            <w:shd w:val="clear" w:color="auto" w:fill="auto"/>
          </w:tcPr>
          <w:p w14:paraId="4B1AFC44" w14:textId="77777777" w:rsidR="0045758F" w:rsidRPr="007D4C1E" w:rsidRDefault="0045758F" w:rsidP="0045758F">
            <w:pPr>
              <w:rPr>
                <w:sz w:val="22"/>
                <w:szCs w:val="22"/>
              </w:rPr>
            </w:pPr>
            <w:r w:rsidRPr="007D4C1E">
              <w:rPr>
                <w:sz w:val="22"/>
                <w:szCs w:val="22"/>
              </w:rPr>
              <w:t xml:space="preserve">FBC, U&amp;Es, LFTs every 2 weeks until on stable dose for 6 weeks </w:t>
            </w:r>
          </w:p>
          <w:p w14:paraId="654C974A" w14:textId="77777777" w:rsidR="0045758F" w:rsidRPr="007D4C1E" w:rsidRDefault="0045758F" w:rsidP="0045758F">
            <w:pPr>
              <w:rPr>
                <w:sz w:val="22"/>
                <w:szCs w:val="22"/>
              </w:rPr>
            </w:pPr>
            <w:r w:rsidRPr="007D4C1E">
              <w:rPr>
                <w:sz w:val="22"/>
                <w:szCs w:val="22"/>
              </w:rPr>
              <w:t>Once on stable dose, monthly for 3 months</w:t>
            </w:r>
          </w:p>
          <w:p w14:paraId="4654E2E0" w14:textId="77777777" w:rsidR="0045758F" w:rsidRPr="007D4C1E" w:rsidRDefault="0045758F" w:rsidP="0045758F">
            <w:pPr>
              <w:rPr>
                <w:sz w:val="22"/>
                <w:szCs w:val="22"/>
              </w:rPr>
            </w:pPr>
            <w:r w:rsidRPr="007D4C1E">
              <w:rPr>
                <w:sz w:val="22"/>
                <w:szCs w:val="22"/>
              </w:rPr>
              <w:t xml:space="preserve">Thereafter, at least every 12 weeks. </w:t>
            </w:r>
          </w:p>
          <w:p w14:paraId="3AD812C2" w14:textId="77777777" w:rsidR="008A4BD0" w:rsidRPr="007D4C1E" w:rsidRDefault="0045758F" w:rsidP="0045758F">
            <w:pPr>
              <w:rPr>
                <w:sz w:val="22"/>
                <w:szCs w:val="22"/>
              </w:rPr>
            </w:pPr>
            <w:r w:rsidRPr="007D4C1E">
              <w:rPr>
                <w:sz w:val="22"/>
                <w:szCs w:val="22"/>
              </w:rPr>
              <w:t>More frequent monitoring is appropriate in patients at higher risk of toxicity, or when clinically indicated</w:t>
            </w:r>
          </w:p>
          <w:p w14:paraId="22CE802B" w14:textId="40952E54" w:rsidR="00CA3B20" w:rsidRPr="007D4C1E" w:rsidRDefault="00CA3B20" w:rsidP="003D59D2">
            <w:pPr>
              <w:rPr>
                <w:sz w:val="22"/>
                <w:szCs w:val="22"/>
              </w:rPr>
            </w:pPr>
            <w:r w:rsidRPr="007D4C1E">
              <w:rPr>
                <w:rFonts w:eastAsia="Merriweather"/>
                <w:sz w:val="22"/>
                <w:szCs w:val="22"/>
              </w:rPr>
              <w:t>Dose increases s</w:t>
            </w:r>
            <w:r w:rsidR="003D59D2">
              <w:rPr>
                <w:rFonts w:eastAsia="Merriweather"/>
                <w:sz w:val="22"/>
                <w:szCs w:val="22"/>
              </w:rPr>
              <w:t xml:space="preserve">hould be monitored by FB and LFTs at 2 and 6 </w:t>
            </w:r>
            <w:r w:rsidRPr="007D4C1E">
              <w:rPr>
                <w:rFonts w:eastAsia="Merriweather"/>
                <w:sz w:val="22"/>
                <w:szCs w:val="22"/>
              </w:rPr>
              <w:t>weeks</w:t>
            </w:r>
            <w:r w:rsidR="003D59D2">
              <w:rPr>
                <w:rFonts w:eastAsia="Merriweather"/>
                <w:sz w:val="22"/>
                <w:szCs w:val="22"/>
              </w:rPr>
              <w:t xml:space="preserve"> and</w:t>
            </w:r>
            <w:r w:rsidRPr="007D4C1E">
              <w:rPr>
                <w:rFonts w:eastAsia="Merriweather"/>
                <w:sz w:val="22"/>
                <w:szCs w:val="22"/>
              </w:rPr>
              <w:t xml:space="preserve"> then revert to previous schedule</w:t>
            </w:r>
          </w:p>
        </w:tc>
      </w:tr>
      <w:tr w:rsidR="008A4BD0" w:rsidRPr="007D4C1E" w14:paraId="6363FD3D" w14:textId="77777777" w:rsidTr="00094335">
        <w:trPr>
          <w:trHeight w:val="450"/>
        </w:trPr>
        <w:tc>
          <w:tcPr>
            <w:tcW w:w="3240" w:type="dxa"/>
            <w:shd w:val="clear" w:color="auto" w:fill="CCFFFF"/>
          </w:tcPr>
          <w:p w14:paraId="158F2EEF" w14:textId="77777777" w:rsidR="008A4BD0" w:rsidRPr="007D4C1E" w:rsidRDefault="008A4BD0" w:rsidP="00094335">
            <w:pPr>
              <w:rPr>
                <w:sz w:val="22"/>
                <w:szCs w:val="22"/>
              </w:rPr>
            </w:pPr>
            <w:r w:rsidRPr="007D4C1E">
              <w:rPr>
                <w:sz w:val="22"/>
                <w:szCs w:val="22"/>
              </w:rPr>
              <w:t>Indications for stopping therapy:</w:t>
            </w:r>
          </w:p>
        </w:tc>
        <w:tc>
          <w:tcPr>
            <w:tcW w:w="7200" w:type="dxa"/>
            <w:shd w:val="clear" w:color="auto" w:fill="auto"/>
          </w:tcPr>
          <w:p w14:paraId="31083189" w14:textId="77777777" w:rsidR="008A4BD0" w:rsidRPr="007D4C1E" w:rsidRDefault="008A4BD0" w:rsidP="00094335">
            <w:pPr>
              <w:rPr>
                <w:rFonts w:cs="Arial"/>
                <w:sz w:val="22"/>
                <w:szCs w:val="22"/>
              </w:rPr>
            </w:pPr>
            <w:r w:rsidRPr="007D4C1E">
              <w:rPr>
                <w:sz w:val="22"/>
                <w:szCs w:val="22"/>
                <w:lang w:val="en"/>
              </w:rPr>
              <w:t>Patients should be warned to report immediately any signs or symptoms of bone marrow suppression e.g. infection or inexplicable bruising or bleeding. Perform an immediate blood test and s</w:t>
            </w:r>
            <w:r w:rsidRPr="007D4C1E">
              <w:rPr>
                <w:rFonts w:cs="Arial"/>
                <w:sz w:val="22"/>
                <w:szCs w:val="22"/>
              </w:rPr>
              <w:t>top medication and contact local rheumatology service if:</w:t>
            </w:r>
          </w:p>
          <w:p w14:paraId="22611CC7" w14:textId="77777777" w:rsidR="008A4BD0" w:rsidRPr="007D4C1E" w:rsidRDefault="008A4BD0" w:rsidP="00094335">
            <w:pPr>
              <w:rPr>
                <w:sz w:val="22"/>
                <w:szCs w:val="22"/>
              </w:rPr>
            </w:pPr>
            <w:r w:rsidRPr="007D4C1E">
              <w:rPr>
                <w:sz w:val="22"/>
                <w:szCs w:val="22"/>
              </w:rPr>
              <w:t>WCC           &lt;3.5 10</w:t>
            </w:r>
            <w:r w:rsidRPr="007D4C1E">
              <w:rPr>
                <w:sz w:val="22"/>
                <w:szCs w:val="22"/>
                <w:vertAlign w:val="superscript"/>
              </w:rPr>
              <w:t>*9/</w:t>
            </w:r>
            <w:r w:rsidRPr="007D4C1E">
              <w:rPr>
                <w:sz w:val="22"/>
                <w:szCs w:val="22"/>
              </w:rPr>
              <w:t>L or below local normal range</w:t>
            </w:r>
          </w:p>
          <w:p w14:paraId="0299C721" w14:textId="77777777" w:rsidR="008A4BD0" w:rsidRPr="007D4C1E" w:rsidRDefault="008A4BD0" w:rsidP="00094335">
            <w:pPr>
              <w:rPr>
                <w:sz w:val="22"/>
                <w:szCs w:val="22"/>
              </w:rPr>
            </w:pPr>
            <w:r w:rsidRPr="007D4C1E">
              <w:rPr>
                <w:sz w:val="22"/>
                <w:szCs w:val="22"/>
              </w:rPr>
              <w:t>Neutrophils &lt; 2.0 10</w:t>
            </w:r>
            <w:r w:rsidRPr="007D4C1E">
              <w:rPr>
                <w:sz w:val="22"/>
                <w:szCs w:val="22"/>
                <w:vertAlign w:val="superscript"/>
              </w:rPr>
              <w:t>*9/</w:t>
            </w:r>
            <w:r w:rsidRPr="007D4C1E">
              <w:rPr>
                <w:sz w:val="22"/>
                <w:szCs w:val="22"/>
              </w:rPr>
              <w:t>L or below local normal range</w:t>
            </w:r>
          </w:p>
          <w:p w14:paraId="6078DF61" w14:textId="77777777" w:rsidR="008A4BD0" w:rsidRPr="007D4C1E" w:rsidRDefault="008A4BD0" w:rsidP="00094335">
            <w:pPr>
              <w:rPr>
                <w:sz w:val="22"/>
                <w:szCs w:val="22"/>
              </w:rPr>
            </w:pPr>
            <w:r w:rsidRPr="007D4C1E">
              <w:rPr>
                <w:sz w:val="22"/>
                <w:szCs w:val="22"/>
              </w:rPr>
              <w:t>Platelets      &lt;150 10</w:t>
            </w:r>
            <w:r w:rsidRPr="007D4C1E">
              <w:rPr>
                <w:sz w:val="22"/>
                <w:szCs w:val="22"/>
                <w:vertAlign w:val="superscript"/>
              </w:rPr>
              <w:t>*9/</w:t>
            </w:r>
            <w:r w:rsidRPr="007D4C1E">
              <w:rPr>
                <w:sz w:val="22"/>
                <w:szCs w:val="22"/>
              </w:rPr>
              <w:t>L or below local normal range</w:t>
            </w:r>
          </w:p>
          <w:p w14:paraId="181E7465" w14:textId="77777777" w:rsidR="008A4BD0" w:rsidRPr="007D4C1E" w:rsidRDefault="008A4BD0" w:rsidP="00094335">
            <w:pPr>
              <w:rPr>
                <w:sz w:val="22"/>
                <w:szCs w:val="22"/>
              </w:rPr>
            </w:pPr>
            <w:r w:rsidRPr="007D4C1E">
              <w:rPr>
                <w:sz w:val="22"/>
                <w:szCs w:val="22"/>
              </w:rPr>
              <w:t>AST or ALT &gt; 3 times normal range (iu/L)</w:t>
            </w:r>
          </w:p>
        </w:tc>
      </w:tr>
      <w:tr w:rsidR="008A4BD0" w:rsidRPr="007D4C1E" w14:paraId="1F3C8EC1" w14:textId="77777777" w:rsidTr="00094335">
        <w:trPr>
          <w:trHeight w:val="450"/>
        </w:trPr>
        <w:tc>
          <w:tcPr>
            <w:tcW w:w="3240" w:type="dxa"/>
            <w:shd w:val="clear" w:color="auto" w:fill="CCFFFF"/>
          </w:tcPr>
          <w:p w14:paraId="0DF6EFFE" w14:textId="77777777" w:rsidR="008A4BD0" w:rsidRPr="007D4C1E" w:rsidRDefault="008A4BD0" w:rsidP="00094335">
            <w:pPr>
              <w:rPr>
                <w:sz w:val="22"/>
                <w:szCs w:val="22"/>
              </w:rPr>
            </w:pPr>
            <w:r w:rsidRPr="007D4C1E">
              <w:rPr>
                <w:sz w:val="22"/>
                <w:szCs w:val="22"/>
              </w:rPr>
              <w:t>Assessment of response:</w:t>
            </w:r>
          </w:p>
        </w:tc>
        <w:tc>
          <w:tcPr>
            <w:tcW w:w="7200" w:type="dxa"/>
            <w:shd w:val="clear" w:color="auto" w:fill="auto"/>
          </w:tcPr>
          <w:p w14:paraId="5561AD27" w14:textId="77777777" w:rsidR="008A4BD0" w:rsidRPr="007D4C1E" w:rsidRDefault="008A4BD0" w:rsidP="00094335">
            <w:pPr>
              <w:rPr>
                <w:sz w:val="22"/>
                <w:szCs w:val="22"/>
              </w:rPr>
            </w:pPr>
            <w:r w:rsidRPr="007D4C1E">
              <w:rPr>
                <w:sz w:val="22"/>
                <w:szCs w:val="22"/>
              </w:rPr>
              <w:t>Usually at 3-4 months and defined by the Rheumatology Consultant according to the disease/organ affected</w:t>
            </w:r>
          </w:p>
        </w:tc>
      </w:tr>
      <w:tr w:rsidR="008A4BD0" w:rsidRPr="007D4C1E" w14:paraId="1B7DD019" w14:textId="77777777" w:rsidTr="00094335">
        <w:trPr>
          <w:trHeight w:val="450"/>
        </w:trPr>
        <w:tc>
          <w:tcPr>
            <w:tcW w:w="3240" w:type="dxa"/>
            <w:shd w:val="clear" w:color="auto" w:fill="CCFFFF"/>
          </w:tcPr>
          <w:p w14:paraId="713D56EE" w14:textId="77777777" w:rsidR="008A4BD0" w:rsidRPr="007D4C1E" w:rsidRDefault="008A4BD0" w:rsidP="00094335">
            <w:pPr>
              <w:rPr>
                <w:sz w:val="22"/>
                <w:szCs w:val="22"/>
              </w:rPr>
            </w:pPr>
            <w:r w:rsidRPr="007D4C1E">
              <w:rPr>
                <w:sz w:val="22"/>
                <w:szCs w:val="22"/>
              </w:rPr>
              <w:t>Additional information:</w:t>
            </w:r>
          </w:p>
        </w:tc>
        <w:tc>
          <w:tcPr>
            <w:tcW w:w="7200" w:type="dxa"/>
            <w:shd w:val="clear" w:color="auto" w:fill="auto"/>
          </w:tcPr>
          <w:p w14:paraId="593CD9FA" w14:textId="77777777" w:rsidR="008A4BD0" w:rsidRPr="007D4C1E" w:rsidRDefault="008A4BD0" w:rsidP="00094335">
            <w:pPr>
              <w:rPr>
                <w:sz w:val="22"/>
                <w:szCs w:val="22"/>
              </w:rPr>
            </w:pPr>
            <w:r w:rsidRPr="007D4C1E">
              <w:rPr>
                <w:sz w:val="22"/>
                <w:szCs w:val="22"/>
              </w:rPr>
              <w:t>Advise patients to minimise exposure to sunlight and wear sunscreen with a high protection factor.</w:t>
            </w:r>
          </w:p>
          <w:p w14:paraId="595C89A6" w14:textId="77777777" w:rsidR="008A4BD0" w:rsidRPr="007D4C1E" w:rsidRDefault="008A4BD0" w:rsidP="00094335">
            <w:pPr>
              <w:rPr>
                <w:color w:val="000000"/>
                <w:sz w:val="22"/>
                <w:szCs w:val="22"/>
                <w:shd w:val="clear" w:color="auto" w:fill="FFFFFF"/>
              </w:rPr>
            </w:pPr>
            <w:r w:rsidRPr="007D4C1E">
              <w:rPr>
                <w:color w:val="000000"/>
                <w:sz w:val="22"/>
                <w:szCs w:val="22"/>
                <w:shd w:val="clear" w:color="auto" w:fill="FFFFFF"/>
              </w:rPr>
              <w:t>Avoid in patients with rare hereditary deficiency of hypoxanthine-guanine phosphoribosyl-transferase (HGPRT) such as Lesch-Nyhan and Kelley-Seegmiller syndrome.</w:t>
            </w:r>
          </w:p>
          <w:p w14:paraId="4E199912" w14:textId="77777777" w:rsidR="008A4BD0" w:rsidRPr="007D4C1E" w:rsidRDefault="008A4BD0" w:rsidP="00094335">
            <w:pPr>
              <w:rPr>
                <w:color w:val="000000"/>
                <w:sz w:val="22"/>
                <w:szCs w:val="22"/>
                <w:shd w:val="clear" w:color="auto" w:fill="FFFFFF"/>
              </w:rPr>
            </w:pPr>
            <w:r w:rsidRPr="007D4C1E">
              <w:rPr>
                <w:color w:val="000000"/>
                <w:sz w:val="22"/>
                <w:szCs w:val="22"/>
                <w:shd w:val="clear" w:color="auto" w:fill="FFFFFF"/>
              </w:rPr>
              <w:t>Gastric side effects can occur including ulceration, perforation and haemorrhage.</w:t>
            </w:r>
          </w:p>
          <w:p w14:paraId="4712135E" w14:textId="77777777" w:rsidR="008A4BD0" w:rsidRPr="007D4C1E" w:rsidRDefault="008A4BD0" w:rsidP="00094335">
            <w:pPr>
              <w:rPr>
                <w:sz w:val="22"/>
                <w:szCs w:val="22"/>
              </w:rPr>
            </w:pPr>
            <w:r w:rsidRPr="007D4C1E">
              <w:rPr>
                <w:sz w:val="22"/>
                <w:szCs w:val="22"/>
                <w:u w:val="single"/>
              </w:rPr>
              <w:t>Important drug interactions:</w:t>
            </w:r>
            <w:r w:rsidRPr="007D4C1E">
              <w:rPr>
                <w:sz w:val="22"/>
                <w:szCs w:val="22"/>
              </w:rPr>
              <w:t xml:space="preserve"> Avoid concomitant use with azathioprine, aciclovir/ganciclovir and probenecid. The following decrease levels : antacids , proton pump inhibitors, cholestyramine, norfloxacin/metronidazole, ciprofloxacin/co-amoxiclav and rifampicin.</w:t>
            </w:r>
          </w:p>
        </w:tc>
      </w:tr>
      <w:tr w:rsidR="008A4BD0" w:rsidRPr="007D4C1E" w14:paraId="0526DC24" w14:textId="77777777" w:rsidTr="00094335">
        <w:tc>
          <w:tcPr>
            <w:tcW w:w="10440" w:type="dxa"/>
            <w:gridSpan w:val="2"/>
            <w:shd w:val="clear" w:color="auto" w:fill="auto"/>
          </w:tcPr>
          <w:p w14:paraId="2BC688BE" w14:textId="77777777" w:rsidR="008A4BD0" w:rsidRPr="007D4C1E" w:rsidRDefault="008A4BD0" w:rsidP="00094335">
            <w:pPr>
              <w:rPr>
                <w:sz w:val="22"/>
                <w:szCs w:val="22"/>
              </w:rPr>
            </w:pPr>
            <w:r w:rsidRPr="007D4C1E">
              <w:rPr>
                <w:sz w:val="22"/>
                <w:szCs w:val="22"/>
              </w:rPr>
              <w:t>Please refer to licensed datasheet for more comprehensive prescribing information:</w:t>
            </w:r>
          </w:p>
          <w:p w14:paraId="7A78BE3B" w14:textId="77777777" w:rsidR="008A4BD0" w:rsidRPr="007D4C1E" w:rsidRDefault="00323D19" w:rsidP="00094335">
            <w:pPr>
              <w:rPr>
                <w:sz w:val="22"/>
                <w:szCs w:val="22"/>
              </w:rPr>
            </w:pPr>
            <w:hyperlink r:id="rId15" w:history="1">
              <w:r w:rsidR="008A4BD0" w:rsidRPr="007D4C1E">
                <w:rPr>
                  <w:rStyle w:val="Hyperlink"/>
                  <w:sz w:val="22"/>
                  <w:szCs w:val="22"/>
                </w:rPr>
                <w:t>http://www.medicines.org.uk/EMC/medicine/1679/SPC/Cellcept+250mg+Capsules/</w:t>
              </w:r>
            </w:hyperlink>
          </w:p>
        </w:tc>
      </w:tr>
    </w:tbl>
    <w:p w14:paraId="6D697AFC" w14:textId="4DAE0ED2" w:rsidR="008A4BD0" w:rsidRDefault="008A4BD0">
      <w:pPr>
        <w:overflowPunct/>
        <w:autoSpaceDE/>
        <w:autoSpaceDN/>
        <w:adjustRightInd/>
        <w:spacing w:after="160" w:line="259" w:lineRule="auto"/>
        <w:textAlignment w:val="auto"/>
        <w:rPr>
          <w:rFonts w:eastAsia="Arial Unicode MS"/>
        </w:rPr>
      </w:pPr>
    </w:p>
    <w:p w14:paraId="50C5CBA3" w14:textId="77777777" w:rsidR="008A4BD0" w:rsidRPr="008A4BD0" w:rsidRDefault="008A4BD0" w:rsidP="008A4BD0">
      <w:pPr>
        <w:rPr>
          <w:rFonts w:eastAsia="Arial Unicode MS"/>
        </w:rPr>
      </w:pPr>
    </w:p>
    <w:p w14:paraId="32E07FAA" w14:textId="3ED80A8C" w:rsidR="008A4BD0" w:rsidRDefault="008A4BD0">
      <w:pPr>
        <w:overflowPunct/>
        <w:autoSpaceDE/>
        <w:autoSpaceDN/>
        <w:adjustRightInd/>
        <w:spacing w:after="160" w:line="259" w:lineRule="auto"/>
        <w:textAlignment w:val="auto"/>
        <w:rPr>
          <w:rFonts w:asciiTheme="majorHAnsi" w:eastAsia="Arial Unicode MS" w:hAnsiTheme="majorHAnsi" w:cstheme="majorBidi"/>
          <w:color w:val="2E74B5" w:themeColor="accent1" w:themeShade="BF"/>
          <w:sz w:val="32"/>
          <w:szCs w:val="32"/>
        </w:rPr>
      </w:pPr>
      <w:r>
        <w:rPr>
          <w:rFonts w:asciiTheme="majorHAnsi" w:eastAsia="Arial Unicode MS" w:hAnsiTheme="majorHAnsi" w:cstheme="majorBidi"/>
          <w:color w:val="2E74B5" w:themeColor="accent1" w:themeShade="BF"/>
          <w:sz w:val="32"/>
          <w:szCs w:val="32"/>
        </w:rPr>
        <w:br w:type="page"/>
      </w:r>
    </w:p>
    <w:p w14:paraId="011982EA" w14:textId="5DAE9909" w:rsidR="00883346" w:rsidRDefault="001113B5" w:rsidP="008A4BD0">
      <w:pPr>
        <w:pStyle w:val="Heading2"/>
      </w:pPr>
      <w:bookmarkStart w:id="13" w:name="_Toc531873927"/>
      <w:r w:rsidRPr="00730760">
        <w:lastRenderedPageBreak/>
        <w:t>Sulfasalazine</w:t>
      </w:r>
      <w:bookmarkEnd w:id="13"/>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8A4BD0" w:rsidRPr="00730760" w14:paraId="4914CFFB" w14:textId="77777777" w:rsidTr="00094335">
        <w:tc>
          <w:tcPr>
            <w:tcW w:w="3240" w:type="dxa"/>
            <w:shd w:val="clear" w:color="auto" w:fill="CCFFFF"/>
          </w:tcPr>
          <w:p w14:paraId="45DAF7B7" w14:textId="42CA5B9D" w:rsidR="008A4BD0" w:rsidRDefault="008A4BD0" w:rsidP="00094335">
            <w:r>
              <w:rPr>
                <w:rFonts w:eastAsia="Arial Unicode MS"/>
              </w:rPr>
              <w:br w:type="page"/>
            </w:r>
            <w:r>
              <w:t>Dose:</w:t>
            </w:r>
          </w:p>
        </w:tc>
        <w:tc>
          <w:tcPr>
            <w:tcW w:w="7200" w:type="dxa"/>
            <w:shd w:val="clear" w:color="auto" w:fill="auto"/>
          </w:tcPr>
          <w:p w14:paraId="7C5E1360" w14:textId="1D915B42" w:rsidR="008A4BD0" w:rsidRDefault="008A4BD0" w:rsidP="00094335">
            <w:pPr>
              <w:rPr>
                <w:sz w:val="22"/>
                <w:szCs w:val="22"/>
              </w:rPr>
            </w:pPr>
            <w:r>
              <w:rPr>
                <w:sz w:val="22"/>
                <w:szCs w:val="22"/>
              </w:rPr>
              <w:t>Indications include -</w:t>
            </w:r>
            <w:r w:rsidRPr="00730760">
              <w:rPr>
                <w:sz w:val="22"/>
                <w:szCs w:val="22"/>
              </w:rPr>
              <w:t xml:space="preserve"> Rheumatoid </w:t>
            </w:r>
            <w:r>
              <w:rPr>
                <w:sz w:val="22"/>
                <w:szCs w:val="22"/>
              </w:rPr>
              <w:t>arthritis, psoriatic arthritis</w:t>
            </w:r>
            <w:r w:rsidR="007D4C1E">
              <w:rPr>
                <w:sz w:val="22"/>
                <w:szCs w:val="22"/>
              </w:rPr>
              <w:t xml:space="preserve"> and IBD related arthritis</w:t>
            </w:r>
          </w:p>
          <w:p w14:paraId="5917FAC6" w14:textId="0CF029D3" w:rsidR="00A85A51" w:rsidRDefault="008A4BD0" w:rsidP="00A85A51">
            <w:pPr>
              <w:rPr>
                <w:sz w:val="22"/>
                <w:szCs w:val="22"/>
              </w:rPr>
            </w:pPr>
            <w:r>
              <w:rPr>
                <w:sz w:val="22"/>
                <w:szCs w:val="22"/>
              </w:rPr>
              <w:t xml:space="preserve">Gradual dose titration to avoid gastric intolerance (enteric coated prep </w:t>
            </w:r>
            <w:r w:rsidR="00A85A51">
              <w:rPr>
                <w:sz w:val="22"/>
                <w:szCs w:val="22"/>
              </w:rPr>
              <w:t>may be considered) e.g.</w:t>
            </w:r>
            <w:r>
              <w:rPr>
                <w:sz w:val="22"/>
                <w:szCs w:val="22"/>
              </w:rPr>
              <w:t xml:space="preserve"> 500mg </w:t>
            </w:r>
            <w:r w:rsidR="00A85A51">
              <w:rPr>
                <w:sz w:val="22"/>
                <w:szCs w:val="22"/>
              </w:rPr>
              <w:t>BD</w:t>
            </w:r>
            <w:r>
              <w:rPr>
                <w:sz w:val="22"/>
                <w:szCs w:val="22"/>
              </w:rPr>
              <w:t xml:space="preserve"> </w:t>
            </w:r>
            <w:r w:rsidR="003D59D2">
              <w:rPr>
                <w:sz w:val="22"/>
                <w:szCs w:val="22"/>
              </w:rPr>
              <w:t>for 2 weeks</w:t>
            </w:r>
            <w:r w:rsidR="00A85A51">
              <w:rPr>
                <w:sz w:val="22"/>
                <w:szCs w:val="22"/>
              </w:rPr>
              <w:t xml:space="preserve">, </w:t>
            </w:r>
            <w:r w:rsidR="003D59D2">
              <w:rPr>
                <w:sz w:val="22"/>
                <w:szCs w:val="22"/>
              </w:rPr>
              <w:t>then 1g twice a day. I</w:t>
            </w:r>
            <w:r>
              <w:rPr>
                <w:sz w:val="22"/>
                <w:szCs w:val="22"/>
              </w:rPr>
              <w:t xml:space="preserve">f gastric intolerance consider 500mg four times a day. </w:t>
            </w:r>
          </w:p>
          <w:p w14:paraId="401A394B" w14:textId="24B89AD1" w:rsidR="008A4BD0" w:rsidRPr="00730760" w:rsidRDefault="008A4BD0" w:rsidP="00A85A51">
            <w:pPr>
              <w:rPr>
                <w:sz w:val="22"/>
                <w:szCs w:val="22"/>
              </w:rPr>
            </w:pPr>
            <w:r>
              <w:rPr>
                <w:sz w:val="22"/>
                <w:szCs w:val="22"/>
              </w:rPr>
              <w:t>If indicated the dose may be increased to 1.5g twice a day (max 40mg/kg/day).</w:t>
            </w:r>
            <w:r w:rsidRPr="00730760">
              <w:rPr>
                <w:sz w:val="22"/>
                <w:szCs w:val="22"/>
              </w:rPr>
              <w:t xml:space="preserve"> </w:t>
            </w:r>
          </w:p>
        </w:tc>
      </w:tr>
      <w:tr w:rsidR="008A4BD0" w:rsidRPr="00730760" w14:paraId="4454BE4C" w14:textId="77777777" w:rsidTr="00094335">
        <w:trPr>
          <w:trHeight w:val="439"/>
        </w:trPr>
        <w:tc>
          <w:tcPr>
            <w:tcW w:w="3240" w:type="dxa"/>
            <w:shd w:val="clear" w:color="auto" w:fill="CCFFFF"/>
          </w:tcPr>
          <w:p w14:paraId="3E7BB2F1" w14:textId="77777777" w:rsidR="008A4BD0" w:rsidRDefault="008A4BD0" w:rsidP="00094335">
            <w:r>
              <w:t>Baseline tests:</w:t>
            </w:r>
          </w:p>
        </w:tc>
        <w:tc>
          <w:tcPr>
            <w:tcW w:w="7200" w:type="dxa"/>
            <w:shd w:val="clear" w:color="auto" w:fill="auto"/>
          </w:tcPr>
          <w:p w14:paraId="2A8C8A77" w14:textId="77777777" w:rsidR="008A4BD0" w:rsidRPr="00396947" w:rsidRDefault="008A4BD0" w:rsidP="00094335">
            <w:pPr>
              <w:rPr>
                <w:sz w:val="22"/>
                <w:szCs w:val="22"/>
              </w:rPr>
            </w:pPr>
            <w:r w:rsidRPr="00396947">
              <w:rPr>
                <w:sz w:val="22"/>
                <w:szCs w:val="22"/>
              </w:rPr>
              <w:t>FBC</w:t>
            </w:r>
          </w:p>
          <w:p w14:paraId="6CA8B292" w14:textId="77777777" w:rsidR="008A4BD0" w:rsidRPr="00396947" w:rsidRDefault="008A4BD0" w:rsidP="00094335">
            <w:pPr>
              <w:rPr>
                <w:sz w:val="22"/>
                <w:szCs w:val="22"/>
              </w:rPr>
            </w:pPr>
            <w:r>
              <w:rPr>
                <w:sz w:val="22"/>
                <w:szCs w:val="22"/>
              </w:rPr>
              <w:t>LFT</w:t>
            </w:r>
            <w:r w:rsidRPr="00396947">
              <w:rPr>
                <w:sz w:val="22"/>
                <w:szCs w:val="22"/>
              </w:rPr>
              <w:t>s</w:t>
            </w:r>
          </w:p>
          <w:p w14:paraId="1ED785D9" w14:textId="77777777" w:rsidR="008A4BD0" w:rsidRDefault="008A4BD0" w:rsidP="00094335">
            <w:pPr>
              <w:rPr>
                <w:sz w:val="22"/>
                <w:szCs w:val="22"/>
              </w:rPr>
            </w:pPr>
            <w:r>
              <w:rPr>
                <w:sz w:val="22"/>
                <w:szCs w:val="22"/>
              </w:rPr>
              <w:t xml:space="preserve">U&amp;E  </w:t>
            </w:r>
          </w:p>
          <w:p w14:paraId="4D36A495" w14:textId="67C64991" w:rsidR="008A4BD0" w:rsidRPr="00730760" w:rsidRDefault="00A85A51" w:rsidP="00A85A51">
            <w:pPr>
              <w:rPr>
                <w:color w:val="FF0000"/>
                <w:sz w:val="22"/>
                <w:szCs w:val="22"/>
              </w:rPr>
            </w:pPr>
            <w:r>
              <w:rPr>
                <w:sz w:val="22"/>
                <w:szCs w:val="22"/>
              </w:rPr>
              <w:t>Consider s</w:t>
            </w:r>
            <w:r w:rsidR="008A4BD0">
              <w:rPr>
                <w:sz w:val="22"/>
                <w:szCs w:val="22"/>
              </w:rPr>
              <w:t>erum folate</w:t>
            </w:r>
          </w:p>
        </w:tc>
      </w:tr>
      <w:tr w:rsidR="008A4BD0" w:rsidRPr="00730760" w14:paraId="54B4F578" w14:textId="77777777" w:rsidTr="00094335">
        <w:trPr>
          <w:trHeight w:val="439"/>
        </w:trPr>
        <w:tc>
          <w:tcPr>
            <w:tcW w:w="3240" w:type="dxa"/>
            <w:shd w:val="clear" w:color="auto" w:fill="CCFFFF"/>
          </w:tcPr>
          <w:p w14:paraId="02153F1B" w14:textId="77777777" w:rsidR="008A4BD0" w:rsidRDefault="008A4BD0" w:rsidP="00094335">
            <w:r>
              <w:t>Routine monitoring:</w:t>
            </w:r>
          </w:p>
        </w:tc>
        <w:tc>
          <w:tcPr>
            <w:tcW w:w="7200" w:type="dxa"/>
            <w:shd w:val="clear" w:color="auto" w:fill="auto"/>
          </w:tcPr>
          <w:p w14:paraId="3CCD181F" w14:textId="77777777" w:rsidR="002E41FF" w:rsidRDefault="002E41FF" w:rsidP="002E41FF">
            <w:pPr>
              <w:rPr>
                <w:sz w:val="22"/>
                <w:szCs w:val="22"/>
              </w:rPr>
            </w:pPr>
            <w:r w:rsidRPr="001A7746">
              <w:rPr>
                <w:sz w:val="22"/>
                <w:szCs w:val="22"/>
              </w:rPr>
              <w:t xml:space="preserve">FBC, </w:t>
            </w:r>
            <w:r>
              <w:rPr>
                <w:sz w:val="22"/>
                <w:szCs w:val="22"/>
              </w:rPr>
              <w:t>U&amp;Es</w:t>
            </w:r>
            <w:r w:rsidRPr="001A7746">
              <w:rPr>
                <w:sz w:val="22"/>
                <w:szCs w:val="22"/>
              </w:rPr>
              <w:t xml:space="preserve">, </w:t>
            </w:r>
            <w:r>
              <w:rPr>
                <w:sz w:val="22"/>
                <w:szCs w:val="22"/>
              </w:rPr>
              <w:t>LFTs</w:t>
            </w:r>
            <w:r w:rsidRPr="001A7746">
              <w:rPr>
                <w:sz w:val="22"/>
                <w:szCs w:val="22"/>
              </w:rPr>
              <w:t xml:space="preserve"> every 2 weeks until on stable dose for 6 weeks; then once on stable dose, monthly for 3 months; thereafter, at least every 12 weeks. </w:t>
            </w:r>
          </w:p>
          <w:p w14:paraId="23234231" w14:textId="74F9D5C3" w:rsidR="002E41FF" w:rsidRDefault="002E41FF" w:rsidP="002E41FF">
            <w:pPr>
              <w:rPr>
                <w:sz w:val="22"/>
                <w:szCs w:val="22"/>
              </w:rPr>
            </w:pPr>
            <w:r w:rsidRPr="001A7746">
              <w:rPr>
                <w:sz w:val="22"/>
                <w:szCs w:val="22"/>
              </w:rPr>
              <w:t>More frequent monitoring is appropriate in patients at higher risk of toxicity</w:t>
            </w:r>
            <w:r>
              <w:rPr>
                <w:sz w:val="22"/>
                <w:szCs w:val="22"/>
              </w:rPr>
              <w:t>, or when clinically indicated</w:t>
            </w:r>
            <w:r w:rsidRPr="001A7746">
              <w:rPr>
                <w:sz w:val="22"/>
                <w:szCs w:val="22"/>
              </w:rPr>
              <w:t xml:space="preserve"> </w:t>
            </w:r>
          </w:p>
          <w:p w14:paraId="2F8A8B35" w14:textId="6670D6EE" w:rsidR="00CA3B20" w:rsidRDefault="00CA3B20" w:rsidP="002E41FF">
            <w:pPr>
              <w:rPr>
                <w:sz w:val="22"/>
                <w:szCs w:val="22"/>
              </w:rPr>
            </w:pPr>
            <w:r w:rsidRPr="00CA3B20">
              <w:rPr>
                <w:rFonts w:eastAsia="Merriweather"/>
                <w:sz w:val="22"/>
                <w:szCs w:val="22"/>
              </w:rPr>
              <w:t>Dose increa</w:t>
            </w:r>
            <w:r w:rsidR="003D59D2">
              <w:rPr>
                <w:rFonts w:eastAsia="Merriweather"/>
                <w:sz w:val="22"/>
                <w:szCs w:val="22"/>
              </w:rPr>
              <w:t>ses should be monitored by FBC and LFTs at 2 and 6 weeks and</w:t>
            </w:r>
            <w:r w:rsidRPr="00CA3B20">
              <w:rPr>
                <w:rFonts w:eastAsia="Merriweather"/>
                <w:sz w:val="22"/>
                <w:szCs w:val="22"/>
              </w:rPr>
              <w:t xml:space="preserve"> then revert to previous schedule</w:t>
            </w:r>
          </w:p>
          <w:p w14:paraId="39C85015" w14:textId="0F44798A" w:rsidR="008A4BD0" w:rsidRPr="00730760" w:rsidRDefault="008A4BD0" w:rsidP="00094335">
            <w:pPr>
              <w:rPr>
                <w:color w:val="FF0000"/>
                <w:sz w:val="22"/>
                <w:szCs w:val="22"/>
              </w:rPr>
            </w:pPr>
            <w:r>
              <w:rPr>
                <w:sz w:val="22"/>
                <w:szCs w:val="22"/>
              </w:rPr>
              <w:t>Monitor</w:t>
            </w:r>
            <w:r w:rsidR="002E41FF">
              <w:rPr>
                <w:sz w:val="22"/>
                <w:szCs w:val="22"/>
              </w:rPr>
              <w:t>ing may be discontinued after 1 year</w:t>
            </w:r>
            <w:r>
              <w:rPr>
                <w:sz w:val="22"/>
                <w:szCs w:val="22"/>
              </w:rPr>
              <w:t xml:space="preserve"> on direct consultant guidance</w:t>
            </w:r>
          </w:p>
        </w:tc>
      </w:tr>
      <w:tr w:rsidR="008A4BD0" w:rsidRPr="00396947" w14:paraId="62641A6A" w14:textId="77777777" w:rsidTr="00094335">
        <w:trPr>
          <w:trHeight w:val="450"/>
        </w:trPr>
        <w:tc>
          <w:tcPr>
            <w:tcW w:w="3240" w:type="dxa"/>
            <w:shd w:val="clear" w:color="auto" w:fill="CCFFFF"/>
          </w:tcPr>
          <w:p w14:paraId="3D39CD24" w14:textId="77777777" w:rsidR="008A4BD0" w:rsidRDefault="008A4BD0" w:rsidP="00094335">
            <w:r>
              <w:t>Indications for Stopping Therapy:</w:t>
            </w:r>
          </w:p>
        </w:tc>
        <w:tc>
          <w:tcPr>
            <w:tcW w:w="7200" w:type="dxa"/>
            <w:shd w:val="clear" w:color="auto" w:fill="auto"/>
          </w:tcPr>
          <w:p w14:paraId="6D7FC208" w14:textId="77777777" w:rsidR="008A4BD0" w:rsidRDefault="008A4BD0" w:rsidP="00094335">
            <w:pPr>
              <w:rPr>
                <w:color w:val="000000"/>
                <w:sz w:val="22"/>
                <w:szCs w:val="22"/>
                <w:shd w:val="clear" w:color="auto" w:fill="FFFFFF"/>
              </w:rPr>
            </w:pPr>
            <w:r w:rsidRPr="00396947">
              <w:rPr>
                <w:color w:val="000000"/>
                <w:sz w:val="22"/>
                <w:szCs w:val="22"/>
                <w:shd w:val="clear" w:color="auto" w:fill="FFFFFF"/>
              </w:rPr>
              <w:t>The patient should be counselled to report immediately with any sore throat, fever, malaise, pallor, purpura, jaundice or unexpected non-specific illness during sulfasalazine treatment</w:t>
            </w:r>
            <w:r>
              <w:rPr>
                <w:color w:val="000000"/>
                <w:sz w:val="22"/>
                <w:szCs w:val="22"/>
                <w:shd w:val="clear" w:color="auto" w:fill="FFFFFF"/>
              </w:rPr>
              <w:t xml:space="preserve"> (interrupt therapy and perform a blood test).</w:t>
            </w:r>
          </w:p>
          <w:p w14:paraId="59439295" w14:textId="77777777" w:rsidR="008A4BD0" w:rsidRDefault="008A4BD0" w:rsidP="00094335">
            <w:pPr>
              <w:rPr>
                <w:sz w:val="22"/>
                <w:szCs w:val="22"/>
              </w:rPr>
            </w:pPr>
            <w:r w:rsidRPr="00730760">
              <w:rPr>
                <w:sz w:val="22"/>
                <w:szCs w:val="22"/>
              </w:rPr>
              <w:t>Stop medication and contac</w:t>
            </w:r>
            <w:r>
              <w:rPr>
                <w:sz w:val="22"/>
                <w:szCs w:val="22"/>
              </w:rPr>
              <w:t>t local rheumatology service if:</w:t>
            </w:r>
          </w:p>
          <w:p w14:paraId="105B4AB4" w14:textId="77777777" w:rsidR="008A4BD0" w:rsidRPr="00702255" w:rsidRDefault="008A4BD0" w:rsidP="008A4BD0">
            <w:pPr>
              <w:numPr>
                <w:ilvl w:val="0"/>
                <w:numId w:val="12"/>
              </w:numPr>
              <w:rPr>
                <w:sz w:val="22"/>
                <w:szCs w:val="22"/>
              </w:rPr>
            </w:pPr>
            <w:r w:rsidRPr="00396947">
              <w:rPr>
                <w:sz w:val="22"/>
                <w:szCs w:val="22"/>
              </w:rPr>
              <w:t>WCC           &lt;3.5</w:t>
            </w:r>
            <w:r>
              <w:rPr>
                <w:sz w:val="22"/>
                <w:szCs w:val="22"/>
              </w:rPr>
              <w:t xml:space="preserve"> 10</w:t>
            </w:r>
            <w:r>
              <w:rPr>
                <w:sz w:val="22"/>
                <w:szCs w:val="22"/>
                <w:vertAlign w:val="superscript"/>
              </w:rPr>
              <w:t>9/</w:t>
            </w:r>
            <w:r>
              <w:rPr>
                <w:sz w:val="22"/>
                <w:szCs w:val="22"/>
              </w:rPr>
              <w:t>L</w:t>
            </w:r>
            <w:r>
              <w:t xml:space="preserve"> </w:t>
            </w:r>
            <w:r w:rsidRPr="0058335C">
              <w:rPr>
                <w:sz w:val="22"/>
                <w:szCs w:val="22"/>
              </w:rPr>
              <w:t xml:space="preserve">or </w:t>
            </w:r>
            <w:r>
              <w:rPr>
                <w:sz w:val="22"/>
                <w:szCs w:val="22"/>
              </w:rPr>
              <w:t xml:space="preserve">below </w:t>
            </w:r>
            <w:r w:rsidRPr="0058335C">
              <w:rPr>
                <w:sz w:val="22"/>
                <w:szCs w:val="22"/>
              </w:rPr>
              <w:t>local normal range</w:t>
            </w:r>
          </w:p>
          <w:p w14:paraId="194D9670" w14:textId="77777777" w:rsidR="008A4BD0" w:rsidRPr="00702255" w:rsidRDefault="008A4BD0" w:rsidP="008A4BD0">
            <w:pPr>
              <w:numPr>
                <w:ilvl w:val="0"/>
                <w:numId w:val="12"/>
              </w:numPr>
              <w:rPr>
                <w:sz w:val="22"/>
                <w:szCs w:val="22"/>
              </w:rPr>
            </w:pPr>
            <w:r w:rsidRPr="00396947">
              <w:rPr>
                <w:sz w:val="22"/>
                <w:szCs w:val="22"/>
              </w:rPr>
              <w:t>Neutrophils &lt; 2.0</w:t>
            </w:r>
            <w:r>
              <w:rPr>
                <w:sz w:val="22"/>
                <w:szCs w:val="22"/>
              </w:rPr>
              <w:t xml:space="preserve"> 10</w:t>
            </w:r>
            <w:r>
              <w:rPr>
                <w:sz w:val="22"/>
                <w:szCs w:val="22"/>
                <w:vertAlign w:val="superscript"/>
              </w:rPr>
              <w:t>9/</w:t>
            </w:r>
            <w:r>
              <w:rPr>
                <w:sz w:val="22"/>
                <w:szCs w:val="22"/>
              </w:rPr>
              <w:t>L</w:t>
            </w:r>
            <w:r>
              <w:t xml:space="preserve"> </w:t>
            </w:r>
            <w:r w:rsidRPr="0058335C">
              <w:rPr>
                <w:sz w:val="22"/>
                <w:szCs w:val="22"/>
              </w:rPr>
              <w:t xml:space="preserve">or </w:t>
            </w:r>
            <w:r>
              <w:rPr>
                <w:sz w:val="22"/>
                <w:szCs w:val="22"/>
              </w:rPr>
              <w:t xml:space="preserve">below </w:t>
            </w:r>
            <w:r w:rsidRPr="0058335C">
              <w:rPr>
                <w:sz w:val="22"/>
                <w:szCs w:val="22"/>
              </w:rPr>
              <w:t>local normal range</w:t>
            </w:r>
          </w:p>
          <w:p w14:paraId="5090FF42" w14:textId="77777777" w:rsidR="008A4BD0" w:rsidRPr="00730760" w:rsidRDefault="008A4BD0" w:rsidP="008A4BD0">
            <w:pPr>
              <w:numPr>
                <w:ilvl w:val="0"/>
                <w:numId w:val="12"/>
              </w:numPr>
              <w:rPr>
                <w:sz w:val="22"/>
                <w:szCs w:val="22"/>
              </w:rPr>
            </w:pPr>
            <w:r w:rsidRPr="00396947">
              <w:rPr>
                <w:sz w:val="22"/>
                <w:szCs w:val="22"/>
              </w:rPr>
              <w:t>Platelets      &lt;150</w:t>
            </w:r>
            <w:r>
              <w:rPr>
                <w:sz w:val="22"/>
                <w:szCs w:val="22"/>
              </w:rPr>
              <w:t xml:space="preserve"> 10</w:t>
            </w:r>
            <w:r>
              <w:rPr>
                <w:sz w:val="22"/>
                <w:szCs w:val="22"/>
                <w:vertAlign w:val="superscript"/>
              </w:rPr>
              <w:t>9/</w:t>
            </w:r>
            <w:r>
              <w:rPr>
                <w:sz w:val="22"/>
                <w:szCs w:val="22"/>
              </w:rPr>
              <w:t>L</w:t>
            </w:r>
            <w:r w:rsidRPr="00730760">
              <w:rPr>
                <w:sz w:val="22"/>
                <w:szCs w:val="22"/>
              </w:rPr>
              <w:t xml:space="preserve"> </w:t>
            </w:r>
            <w:r w:rsidRPr="0058335C">
              <w:rPr>
                <w:sz w:val="22"/>
                <w:szCs w:val="22"/>
              </w:rPr>
              <w:t xml:space="preserve">or </w:t>
            </w:r>
            <w:r>
              <w:rPr>
                <w:sz w:val="22"/>
                <w:szCs w:val="22"/>
              </w:rPr>
              <w:t xml:space="preserve">below </w:t>
            </w:r>
            <w:r w:rsidRPr="0058335C">
              <w:rPr>
                <w:sz w:val="22"/>
                <w:szCs w:val="22"/>
              </w:rPr>
              <w:t>local normal range</w:t>
            </w:r>
          </w:p>
          <w:p w14:paraId="61A6B3AD" w14:textId="77777777" w:rsidR="008A4BD0" w:rsidRDefault="008A4BD0" w:rsidP="008A4BD0">
            <w:pPr>
              <w:numPr>
                <w:ilvl w:val="0"/>
                <w:numId w:val="12"/>
              </w:numPr>
              <w:rPr>
                <w:sz w:val="22"/>
                <w:szCs w:val="22"/>
              </w:rPr>
            </w:pPr>
            <w:r w:rsidRPr="00730760">
              <w:rPr>
                <w:sz w:val="22"/>
                <w:szCs w:val="22"/>
              </w:rPr>
              <w:t>Proteinuria/Blood &gt;1+</w:t>
            </w:r>
          </w:p>
          <w:p w14:paraId="659D6622" w14:textId="2B4581E9" w:rsidR="003D59D2" w:rsidRPr="00396947" w:rsidRDefault="003D59D2" w:rsidP="003D59D2">
            <w:pPr>
              <w:rPr>
                <w:sz w:val="22"/>
                <w:szCs w:val="22"/>
              </w:rPr>
            </w:pPr>
            <w:r>
              <w:rPr>
                <w:sz w:val="22"/>
                <w:szCs w:val="22"/>
              </w:rPr>
              <w:t>Generally not considered a risk factor for infection so remains safe to continue</w:t>
            </w:r>
          </w:p>
        </w:tc>
      </w:tr>
      <w:tr w:rsidR="008A4BD0" w:rsidRPr="00711506" w14:paraId="59002B86" w14:textId="77777777" w:rsidTr="00094335">
        <w:trPr>
          <w:trHeight w:val="450"/>
        </w:trPr>
        <w:tc>
          <w:tcPr>
            <w:tcW w:w="3240" w:type="dxa"/>
            <w:shd w:val="clear" w:color="auto" w:fill="CCFFFF"/>
          </w:tcPr>
          <w:p w14:paraId="35563C36" w14:textId="77777777" w:rsidR="008A4BD0" w:rsidRDefault="008A4BD0" w:rsidP="00094335">
            <w:r>
              <w:t>Assessment of response:</w:t>
            </w:r>
          </w:p>
        </w:tc>
        <w:tc>
          <w:tcPr>
            <w:tcW w:w="7200" w:type="dxa"/>
            <w:shd w:val="clear" w:color="auto" w:fill="auto"/>
          </w:tcPr>
          <w:p w14:paraId="4850A614" w14:textId="77777777" w:rsidR="008A4BD0" w:rsidRPr="00711506" w:rsidRDefault="008A4BD0" w:rsidP="00094335">
            <w:pPr>
              <w:rPr>
                <w:sz w:val="22"/>
                <w:szCs w:val="22"/>
              </w:rPr>
            </w:pPr>
            <w:r>
              <w:rPr>
                <w:sz w:val="22"/>
                <w:szCs w:val="22"/>
              </w:rPr>
              <w:t>At 3-6 months</w:t>
            </w:r>
          </w:p>
        </w:tc>
      </w:tr>
      <w:tr w:rsidR="008A4BD0" w:rsidRPr="00711506" w14:paraId="2F0E82F7" w14:textId="77777777" w:rsidTr="00094335">
        <w:trPr>
          <w:trHeight w:val="450"/>
        </w:trPr>
        <w:tc>
          <w:tcPr>
            <w:tcW w:w="3240" w:type="dxa"/>
            <w:shd w:val="clear" w:color="auto" w:fill="CCFFFF"/>
          </w:tcPr>
          <w:p w14:paraId="7692A0D9" w14:textId="77777777" w:rsidR="008A4BD0" w:rsidRDefault="008A4BD0" w:rsidP="00094335">
            <w:r>
              <w:t>Additional information:</w:t>
            </w:r>
          </w:p>
        </w:tc>
        <w:tc>
          <w:tcPr>
            <w:tcW w:w="7200" w:type="dxa"/>
            <w:shd w:val="clear" w:color="auto" w:fill="auto"/>
          </w:tcPr>
          <w:p w14:paraId="7231979F" w14:textId="77777777" w:rsidR="008A4BD0" w:rsidRDefault="008A4BD0" w:rsidP="008A4BD0">
            <w:pPr>
              <w:numPr>
                <w:ilvl w:val="0"/>
                <w:numId w:val="8"/>
              </w:numPr>
              <w:rPr>
                <w:sz w:val="22"/>
                <w:szCs w:val="22"/>
              </w:rPr>
            </w:pPr>
            <w:r>
              <w:rPr>
                <w:sz w:val="22"/>
                <w:szCs w:val="22"/>
              </w:rPr>
              <w:t>Contra-indicated in patient with hypersensitivity to sulphonamides or salicylates.</w:t>
            </w:r>
          </w:p>
          <w:p w14:paraId="73929316" w14:textId="77777777" w:rsidR="008A4BD0" w:rsidRDefault="008A4BD0" w:rsidP="008A4BD0">
            <w:pPr>
              <w:numPr>
                <w:ilvl w:val="0"/>
                <w:numId w:val="8"/>
              </w:numPr>
              <w:rPr>
                <w:sz w:val="22"/>
                <w:szCs w:val="22"/>
              </w:rPr>
            </w:pPr>
            <w:r>
              <w:rPr>
                <w:sz w:val="22"/>
                <w:szCs w:val="22"/>
              </w:rPr>
              <w:t>Contra-indicated in Porphyria</w:t>
            </w:r>
          </w:p>
          <w:p w14:paraId="5921BB96" w14:textId="77777777" w:rsidR="008A4BD0" w:rsidRDefault="008A4BD0" w:rsidP="008A4BD0">
            <w:pPr>
              <w:numPr>
                <w:ilvl w:val="0"/>
                <w:numId w:val="8"/>
              </w:numPr>
              <w:rPr>
                <w:sz w:val="22"/>
                <w:szCs w:val="22"/>
              </w:rPr>
            </w:pPr>
            <w:r>
              <w:rPr>
                <w:sz w:val="22"/>
                <w:szCs w:val="22"/>
              </w:rPr>
              <w:t>Avoid in hepatic and/or renal impairment and/or pre-existing blood dycrasias unless benefit outweighs risk.</w:t>
            </w:r>
          </w:p>
          <w:p w14:paraId="7E26486C" w14:textId="77777777" w:rsidR="008A4BD0" w:rsidRDefault="008A4BD0" w:rsidP="008A4BD0">
            <w:pPr>
              <w:numPr>
                <w:ilvl w:val="0"/>
                <w:numId w:val="8"/>
              </w:numPr>
              <w:rPr>
                <w:sz w:val="22"/>
                <w:szCs w:val="22"/>
              </w:rPr>
            </w:pPr>
            <w:r>
              <w:rPr>
                <w:sz w:val="22"/>
                <w:szCs w:val="22"/>
              </w:rPr>
              <w:t>Risk of folic acid deficiency</w:t>
            </w:r>
          </w:p>
          <w:p w14:paraId="1DB55CC2" w14:textId="77777777" w:rsidR="008A4BD0" w:rsidRPr="00730760" w:rsidRDefault="008A4BD0" w:rsidP="008A4BD0">
            <w:pPr>
              <w:numPr>
                <w:ilvl w:val="0"/>
                <w:numId w:val="8"/>
              </w:numPr>
              <w:rPr>
                <w:rFonts w:cs="Arial"/>
                <w:sz w:val="22"/>
                <w:szCs w:val="22"/>
              </w:rPr>
            </w:pPr>
            <w:r w:rsidRPr="00730760">
              <w:rPr>
                <w:rFonts w:cs="Arial"/>
                <w:sz w:val="22"/>
                <w:szCs w:val="22"/>
              </w:rPr>
              <w:t>Oligospermia and infertility may occur in men treated with sulfasalazine</w:t>
            </w:r>
            <w:r>
              <w:rPr>
                <w:rFonts w:cs="Arial"/>
                <w:sz w:val="22"/>
                <w:szCs w:val="22"/>
              </w:rPr>
              <w:t xml:space="preserve"> (reversal within 2 to 3 months of stopping)</w:t>
            </w:r>
            <w:r w:rsidRPr="00730760">
              <w:rPr>
                <w:rFonts w:cs="Arial"/>
                <w:sz w:val="22"/>
                <w:szCs w:val="22"/>
              </w:rPr>
              <w:t xml:space="preserve">. </w:t>
            </w:r>
          </w:p>
          <w:p w14:paraId="51B44C54" w14:textId="77777777" w:rsidR="008A4BD0" w:rsidRDefault="008A4BD0" w:rsidP="008A4BD0">
            <w:pPr>
              <w:numPr>
                <w:ilvl w:val="0"/>
                <w:numId w:val="8"/>
              </w:numPr>
              <w:rPr>
                <w:sz w:val="22"/>
                <w:szCs w:val="22"/>
              </w:rPr>
            </w:pPr>
            <w:r>
              <w:rPr>
                <w:sz w:val="22"/>
                <w:szCs w:val="22"/>
              </w:rPr>
              <w:t>Risk of crystalluria – maintain adequate fluid intake.</w:t>
            </w:r>
          </w:p>
          <w:p w14:paraId="0CE101CB" w14:textId="77777777" w:rsidR="008A4BD0" w:rsidRPr="00711506" w:rsidRDefault="008A4BD0" w:rsidP="00094335">
            <w:pPr>
              <w:rPr>
                <w:rFonts w:cs="Arial"/>
                <w:sz w:val="22"/>
                <w:szCs w:val="22"/>
                <w:u w:val="single"/>
              </w:rPr>
            </w:pPr>
            <w:r w:rsidRPr="00711506">
              <w:rPr>
                <w:rFonts w:cs="Arial"/>
                <w:sz w:val="22"/>
                <w:szCs w:val="22"/>
                <w:u w:val="single"/>
              </w:rPr>
              <w:t>Important drug reactions</w:t>
            </w:r>
            <w:r w:rsidRPr="00EA14B1">
              <w:rPr>
                <w:rFonts w:cs="Arial"/>
                <w:sz w:val="22"/>
                <w:szCs w:val="22"/>
              </w:rPr>
              <w:t>:</w:t>
            </w:r>
            <w:r>
              <w:t xml:space="preserve"> </w:t>
            </w:r>
            <w:r w:rsidRPr="003921D5">
              <w:rPr>
                <w:rFonts w:cs="Arial"/>
                <w:sz w:val="22"/>
                <w:szCs w:val="22"/>
              </w:rPr>
              <w:t xml:space="preserve">•azathioprine/mercaptopurine – increased bone marrow suppression </w:t>
            </w:r>
            <w:r w:rsidRPr="00EA14B1">
              <w:rPr>
                <w:sz w:val="22"/>
                <w:szCs w:val="22"/>
              </w:rPr>
              <w:t>•d</w:t>
            </w:r>
            <w:r w:rsidRPr="00EA14B1">
              <w:rPr>
                <w:rFonts w:cs="Arial"/>
                <w:sz w:val="22"/>
                <w:szCs w:val="22"/>
              </w:rPr>
              <w:t xml:space="preserve">igoxin (decreased absorption) </w:t>
            </w:r>
            <w:r w:rsidRPr="00EA14B1">
              <w:rPr>
                <w:sz w:val="22"/>
                <w:szCs w:val="22"/>
              </w:rPr>
              <w:t>•</w:t>
            </w:r>
            <w:r w:rsidRPr="00EA14B1">
              <w:rPr>
                <w:rFonts w:cs="Arial"/>
                <w:sz w:val="22"/>
                <w:szCs w:val="22"/>
              </w:rPr>
              <w:t xml:space="preserve">Hypoglycaemic agents – increased hypoglycaemia </w:t>
            </w:r>
          </w:p>
        </w:tc>
      </w:tr>
      <w:tr w:rsidR="008A4BD0" w:rsidRPr="00730760" w14:paraId="2F4E5F72" w14:textId="77777777" w:rsidTr="00094335">
        <w:tc>
          <w:tcPr>
            <w:tcW w:w="3240" w:type="dxa"/>
            <w:shd w:val="clear" w:color="auto" w:fill="CCFFFF"/>
          </w:tcPr>
          <w:p w14:paraId="5AC31CBD" w14:textId="77777777" w:rsidR="008A4BD0" w:rsidRDefault="008A4BD0" w:rsidP="00094335">
            <w:r>
              <w:t>Pregnancy &amp; Breastfeeding:</w:t>
            </w:r>
          </w:p>
        </w:tc>
        <w:tc>
          <w:tcPr>
            <w:tcW w:w="7200" w:type="dxa"/>
            <w:shd w:val="clear" w:color="auto" w:fill="auto"/>
          </w:tcPr>
          <w:p w14:paraId="0A3264CB" w14:textId="77777777" w:rsidR="008A4BD0" w:rsidRDefault="008A4BD0" w:rsidP="00094335">
            <w:pPr>
              <w:rPr>
                <w:rFonts w:cs="Arial"/>
                <w:sz w:val="22"/>
                <w:szCs w:val="22"/>
              </w:rPr>
            </w:pPr>
            <w:r>
              <w:rPr>
                <w:rFonts w:cs="Arial"/>
                <w:sz w:val="22"/>
                <w:szCs w:val="22"/>
              </w:rPr>
              <w:t xml:space="preserve">Where deemed appropriate continue </w:t>
            </w:r>
            <w:r w:rsidRPr="00730760">
              <w:rPr>
                <w:rFonts w:cs="Arial"/>
                <w:sz w:val="22"/>
                <w:szCs w:val="22"/>
              </w:rPr>
              <w:t>in pregnancy</w:t>
            </w:r>
            <w:r>
              <w:rPr>
                <w:rFonts w:cs="Arial"/>
                <w:sz w:val="22"/>
                <w:szCs w:val="22"/>
              </w:rPr>
              <w:t>, but combine</w:t>
            </w:r>
            <w:r w:rsidRPr="00730760">
              <w:rPr>
                <w:rFonts w:cs="Arial"/>
                <w:sz w:val="22"/>
                <w:szCs w:val="22"/>
              </w:rPr>
              <w:t xml:space="preserve"> with folic acid 5mg od. </w:t>
            </w:r>
          </w:p>
          <w:p w14:paraId="4A5162F6" w14:textId="77777777" w:rsidR="008A4BD0" w:rsidRPr="00730760" w:rsidRDefault="008A4BD0" w:rsidP="00094335">
            <w:pPr>
              <w:rPr>
                <w:sz w:val="22"/>
                <w:szCs w:val="22"/>
              </w:rPr>
            </w:pPr>
            <w:r>
              <w:rPr>
                <w:rFonts w:cs="Arial"/>
                <w:sz w:val="22"/>
                <w:szCs w:val="22"/>
              </w:rPr>
              <w:t>Considered safe when breast feeding.</w:t>
            </w:r>
          </w:p>
        </w:tc>
      </w:tr>
      <w:tr w:rsidR="008A4BD0" w:rsidRPr="00730760" w14:paraId="4F78C03C" w14:textId="77777777" w:rsidTr="00094335">
        <w:tc>
          <w:tcPr>
            <w:tcW w:w="10440" w:type="dxa"/>
            <w:gridSpan w:val="2"/>
            <w:shd w:val="clear" w:color="auto" w:fill="auto"/>
          </w:tcPr>
          <w:p w14:paraId="6CB0575A" w14:textId="77777777" w:rsidR="008A4BD0" w:rsidRPr="00730760" w:rsidRDefault="008A4BD0" w:rsidP="00094335">
            <w:pPr>
              <w:rPr>
                <w:sz w:val="20"/>
              </w:rPr>
            </w:pPr>
            <w:r w:rsidRPr="00730760">
              <w:rPr>
                <w:sz w:val="20"/>
              </w:rPr>
              <w:t>Please refer to licensed datasheet for more comprehensive prescribing information:</w:t>
            </w:r>
          </w:p>
          <w:p w14:paraId="441407B7" w14:textId="77777777" w:rsidR="008A4BD0" w:rsidRPr="00730760" w:rsidRDefault="008A4BD0" w:rsidP="00094335">
            <w:pPr>
              <w:rPr>
                <w:color w:val="FF0000"/>
              </w:rPr>
            </w:pPr>
            <w:r w:rsidRPr="00730760">
              <w:rPr>
                <w:sz w:val="18"/>
                <w:szCs w:val="18"/>
              </w:rPr>
              <w:t>http://www.medicines.org.uk/EMC/medicine/10722/SPC/Salazopyrin+En-Tabs/</w:t>
            </w:r>
          </w:p>
        </w:tc>
      </w:tr>
    </w:tbl>
    <w:p w14:paraId="76E12931" w14:textId="35AFF3F9" w:rsidR="008A4BD0" w:rsidRDefault="008A4BD0">
      <w:pPr>
        <w:overflowPunct/>
        <w:autoSpaceDE/>
        <w:autoSpaceDN/>
        <w:adjustRightInd/>
        <w:spacing w:after="160" w:line="259" w:lineRule="auto"/>
        <w:textAlignment w:val="auto"/>
        <w:rPr>
          <w:rFonts w:eastAsia="Arial Unicode MS"/>
        </w:rPr>
      </w:pPr>
    </w:p>
    <w:p w14:paraId="3A2F6083" w14:textId="50FC5E05" w:rsidR="008A4BD0" w:rsidRDefault="008A4BD0">
      <w:pPr>
        <w:overflowPunct/>
        <w:autoSpaceDE/>
        <w:autoSpaceDN/>
        <w:adjustRightInd/>
        <w:spacing w:after="160" w:line="259" w:lineRule="auto"/>
        <w:textAlignment w:val="auto"/>
        <w:rPr>
          <w:rFonts w:eastAsia="Arial Unicode MS"/>
        </w:rPr>
      </w:pPr>
    </w:p>
    <w:p w14:paraId="1A1BCE53" w14:textId="2D0E9BBD" w:rsidR="008A4BD0" w:rsidRPr="003921D5" w:rsidRDefault="008A4BD0" w:rsidP="005412C6">
      <w:pPr>
        <w:pStyle w:val="Heading1"/>
      </w:pPr>
      <w:r>
        <w:rPr>
          <w:rFonts w:eastAsia="Arial Unicode MS"/>
        </w:rPr>
        <w:br w:type="page"/>
      </w:r>
      <w:bookmarkStart w:id="14" w:name="_Toc531873928"/>
      <w:r w:rsidRPr="003921D5">
        <w:lastRenderedPageBreak/>
        <w:t>Biologic therapy</w:t>
      </w:r>
      <w:r>
        <w:t xml:space="preserve"> (bDMARDs)</w:t>
      </w:r>
      <w:bookmarkEnd w:id="14"/>
    </w:p>
    <w:p w14:paraId="37C716DA" w14:textId="77777777" w:rsidR="008A4BD0" w:rsidRDefault="008A4BD0" w:rsidP="008A4BD0"/>
    <w:p w14:paraId="6BC474B8" w14:textId="77777777" w:rsidR="008A4BD0" w:rsidRDefault="008A4BD0" w:rsidP="00884993">
      <w:pPr>
        <w:spacing w:line="360" w:lineRule="auto"/>
      </w:pPr>
    </w:p>
    <w:p w14:paraId="6ABEBAA4" w14:textId="77777777" w:rsidR="008A4BD0" w:rsidRDefault="008A4BD0" w:rsidP="00884993">
      <w:pPr>
        <w:spacing w:line="360" w:lineRule="auto"/>
      </w:pPr>
      <w:r>
        <w:t>The use of bDMARDs is now relatively common in the management of a number of severe rheumatological conditions. Funding of biologic therapies falls outside of the national tariff. However where use is in accordance with NICE guidance local Clinical Commissioning Groups (CCG’s) are automatically required to fund treatment. The reader should refer to the National Institute for Health and Care Excellence (NICE) website for details of NICE supported biologic treatment (</w:t>
      </w:r>
      <w:r w:rsidRPr="00C83727">
        <w:t>http://www.nice.org.uk/</w:t>
      </w:r>
      <w:r>
        <w:t>.)</w:t>
      </w:r>
    </w:p>
    <w:p w14:paraId="320B12E6" w14:textId="77777777" w:rsidR="008A4BD0" w:rsidRDefault="008A4BD0" w:rsidP="00884993">
      <w:pPr>
        <w:spacing w:line="360" w:lineRule="auto"/>
      </w:pPr>
    </w:p>
    <w:p w14:paraId="6DE0DBEA" w14:textId="0DC9D514" w:rsidR="008A4BD0" w:rsidRDefault="008A4BD0" w:rsidP="00884993">
      <w:pPr>
        <w:spacing w:line="360" w:lineRule="auto"/>
      </w:pPr>
      <w:r>
        <w:t>In addition to NICE, treatments may be commissioned nationally through the NHS Commissioning Board. Current NHS Board Commission Statements include the use of rituximab in the management of SLE.</w:t>
      </w:r>
    </w:p>
    <w:p w14:paraId="4E507DDD" w14:textId="77777777" w:rsidR="008A4BD0" w:rsidRDefault="008A4BD0" w:rsidP="00884993">
      <w:pPr>
        <w:spacing w:line="360" w:lineRule="auto"/>
      </w:pPr>
    </w:p>
    <w:p w14:paraId="00F95CA2" w14:textId="77777777" w:rsidR="008A4BD0" w:rsidRDefault="008A4BD0" w:rsidP="00884993">
      <w:pPr>
        <w:spacing w:line="360" w:lineRule="auto"/>
        <w:ind w:left="720"/>
      </w:pPr>
      <w:r>
        <w:t>Clinical Commissioning Policy: Rituximab for the treatment of Systemic Lupus Erythematosus (SLE), September 2013 ref: NHS England A13/PS/a (</w:t>
      </w:r>
      <w:r w:rsidRPr="000E1CD4">
        <w:t>http://www.england.nhs.uk/wp-content/uploads/2013/09/a13-psa.pdf</w:t>
      </w:r>
      <w:r>
        <w:t>)</w:t>
      </w:r>
    </w:p>
    <w:p w14:paraId="7963620E" w14:textId="77777777" w:rsidR="008A4BD0" w:rsidRDefault="008A4BD0" w:rsidP="00884993">
      <w:pPr>
        <w:spacing w:line="360" w:lineRule="auto"/>
      </w:pPr>
    </w:p>
    <w:p w14:paraId="74B59D8F" w14:textId="03935068" w:rsidR="008A4BD0" w:rsidRDefault="008A4BD0" w:rsidP="00884993">
      <w:pPr>
        <w:spacing w:line="360" w:lineRule="auto"/>
      </w:pPr>
      <w:r>
        <w:t>There are a number of conditions where there is an absence of NICE guidance or the patient is unable to fulfil the criteria of NICE or the NHS Commission Board. If biologic therapy is indicated, funding may be obtained through an individual funding request (IFR) or a locally agreed commissioning statement.  The reader should ref</w:t>
      </w:r>
      <w:r w:rsidR="001113B5">
        <w:t>er to local hospital formulary</w:t>
      </w:r>
      <w:r>
        <w:t xml:space="preserve"> and locally agreed treatment pathways/commissioning statements to clarify permitted prescribing practice.</w:t>
      </w:r>
    </w:p>
    <w:p w14:paraId="766A60AC" w14:textId="77777777" w:rsidR="008A4BD0" w:rsidRDefault="008A4BD0" w:rsidP="00884993">
      <w:pPr>
        <w:spacing w:line="360" w:lineRule="auto"/>
      </w:pPr>
    </w:p>
    <w:p w14:paraId="6A0B8BB6" w14:textId="644C2F39" w:rsidR="008A4BD0" w:rsidRDefault="008A4BD0" w:rsidP="00884993">
      <w:pPr>
        <w:spacing w:line="360" w:lineRule="auto"/>
      </w:pPr>
      <w:r>
        <w:t>There are currently five licensed Tumour Necrosis Factor (TNF) inhibitors in the UK: adalimumab, certolizumab, etanercept, golimumab and infliximab</w:t>
      </w:r>
      <w:r w:rsidR="00AE1B65">
        <w:t xml:space="preserve"> of which 3 currently have available biosimilars</w:t>
      </w:r>
      <w:r>
        <w:t xml:space="preserve"> (refer to </w:t>
      </w:r>
      <w:r w:rsidR="00AE1B65" w:rsidRPr="00AE1B65">
        <w:fldChar w:fldCharType="begin"/>
      </w:r>
      <w:r w:rsidR="00AE1B65" w:rsidRPr="00AE1B65">
        <w:instrText xml:space="preserve"> REF _Ref530209185 \h  \* MERGEFORMAT </w:instrText>
      </w:r>
      <w:r w:rsidR="00AE1B65" w:rsidRPr="00AE1B65">
        <w:fldChar w:fldCharType="separate"/>
      </w:r>
      <w:r w:rsidR="00AE1B65" w:rsidRPr="00AE1B65">
        <w:rPr>
          <w:szCs w:val="24"/>
        </w:rPr>
        <w:t xml:space="preserve">Table </w:t>
      </w:r>
      <w:r w:rsidR="00AE1B65" w:rsidRPr="00AE1B65">
        <w:rPr>
          <w:noProof/>
          <w:szCs w:val="24"/>
        </w:rPr>
        <w:t>1</w:t>
      </w:r>
      <w:r w:rsidR="00AE1B65" w:rsidRPr="00AE1B65">
        <w:fldChar w:fldCharType="end"/>
      </w:r>
      <w:r>
        <w:t xml:space="preserve">). The reader should refer to individual product datasheets for more detailed prescribing guidance and also the NICE website with regards to funding status for use in different clinical indications. The attached monographs contain key information with regards to baseline and routine monitoring which should be performed with these agents. </w:t>
      </w:r>
    </w:p>
    <w:p w14:paraId="57FBAE3E" w14:textId="77777777" w:rsidR="008A4BD0" w:rsidRDefault="008A4BD0" w:rsidP="00884993">
      <w:pPr>
        <w:spacing w:line="360" w:lineRule="auto"/>
      </w:pPr>
    </w:p>
    <w:p w14:paraId="5AC13FAC" w14:textId="2B50AA09" w:rsidR="00C63F80" w:rsidRDefault="008A4BD0" w:rsidP="00C63F80">
      <w:pPr>
        <w:spacing w:line="360" w:lineRule="auto"/>
      </w:pPr>
      <w:r w:rsidRPr="00AE1B65">
        <w:lastRenderedPageBreak/>
        <w:t xml:space="preserve">In addition to the TNF inhibitors, </w:t>
      </w:r>
      <w:r w:rsidR="00AE1B65" w:rsidRPr="00AE1B65">
        <w:t>the following</w:t>
      </w:r>
      <w:r w:rsidRPr="00AE1B65">
        <w:t xml:space="preserve"> licensed bDMARDs </w:t>
      </w:r>
      <w:r w:rsidR="00AE1B65" w:rsidRPr="00AE1B65">
        <w:t xml:space="preserve">are </w:t>
      </w:r>
      <w:r w:rsidRPr="00AE1B65">
        <w:t>available in the UK: abatacept, belimumab, tocilizumab</w:t>
      </w:r>
      <w:r w:rsidR="002E4D22" w:rsidRPr="00AE1B65">
        <w:t xml:space="preserve">, </w:t>
      </w:r>
      <w:r w:rsidRPr="00AE1B65">
        <w:t>rituximab</w:t>
      </w:r>
      <w:r w:rsidR="002E4D22" w:rsidRPr="00AE1B65">
        <w:t>, i</w:t>
      </w:r>
      <w:r w:rsidR="00D42877">
        <w:t>xekizumab, sarilumab, secukinum</w:t>
      </w:r>
      <w:r w:rsidR="002E4D22" w:rsidRPr="00AE1B65">
        <w:t>a</w:t>
      </w:r>
      <w:r w:rsidR="00D42877">
        <w:t>b</w:t>
      </w:r>
      <w:r w:rsidR="002E4D22" w:rsidRPr="00AE1B65">
        <w:t>, ustekinumab</w:t>
      </w:r>
      <w:r w:rsidRPr="00AE1B65">
        <w:t xml:space="preserve"> (please refer to </w:t>
      </w:r>
      <w:r w:rsidR="00AE1B65" w:rsidRPr="00AE1B65">
        <w:fldChar w:fldCharType="begin"/>
      </w:r>
      <w:r w:rsidR="00AE1B65" w:rsidRPr="00AE1B65">
        <w:instrText xml:space="preserve"> REF _Ref530209250 \h  \* MERGEFORMAT </w:instrText>
      </w:r>
      <w:r w:rsidR="00AE1B65" w:rsidRPr="00AE1B65">
        <w:fldChar w:fldCharType="separate"/>
      </w:r>
      <w:r w:rsidR="00AE1B65" w:rsidRPr="00AE1B65">
        <w:rPr>
          <w:szCs w:val="24"/>
        </w:rPr>
        <w:t xml:space="preserve">Table </w:t>
      </w:r>
      <w:r w:rsidR="00AE1B65" w:rsidRPr="00AE1B65">
        <w:rPr>
          <w:noProof/>
          <w:szCs w:val="24"/>
        </w:rPr>
        <w:t>2</w:t>
      </w:r>
      <w:r w:rsidR="00AE1B65" w:rsidRPr="00AE1B65">
        <w:fldChar w:fldCharType="end"/>
      </w:r>
      <w:r w:rsidRPr="00AE1B65">
        <w:t>).</w:t>
      </w:r>
      <w:r w:rsidR="002E4D22">
        <w:t xml:space="preserve"> There are also 3 other targeted synthetic DMARDS currently available: tofacitinib, baricitinib and apremilast.</w:t>
      </w:r>
    </w:p>
    <w:p w14:paraId="3CCFADA6" w14:textId="42B4A08C" w:rsidR="00B139C2" w:rsidRDefault="00B139C2">
      <w:pPr>
        <w:overflowPunct/>
        <w:autoSpaceDE/>
        <w:autoSpaceDN/>
        <w:adjustRightInd/>
        <w:spacing w:after="160" w:line="259" w:lineRule="auto"/>
        <w:textAlignment w:val="auto"/>
        <w:rPr>
          <w:highlight w:val="green"/>
        </w:rPr>
      </w:pPr>
    </w:p>
    <w:p w14:paraId="17D68948" w14:textId="77777777" w:rsidR="00C63F80" w:rsidRDefault="00C63F80" w:rsidP="00332E72">
      <w:pPr>
        <w:pStyle w:val="Heading2"/>
        <w:sectPr w:rsidR="00C63F80" w:rsidSect="00E33A0A">
          <w:pgSz w:w="11906" w:h="16838"/>
          <w:pgMar w:top="1440" w:right="1440" w:bottom="1440" w:left="1440" w:header="708" w:footer="708" w:gutter="0"/>
          <w:cols w:space="708"/>
          <w:docGrid w:linePitch="360"/>
        </w:sectPr>
      </w:pPr>
      <w:bookmarkStart w:id="15" w:name="_Ref530209185"/>
    </w:p>
    <w:p w14:paraId="768F067D" w14:textId="2CE63D9D" w:rsidR="00B139C2" w:rsidRPr="00AE1B65" w:rsidRDefault="00AE1B65" w:rsidP="00332E72">
      <w:pPr>
        <w:pStyle w:val="Heading2"/>
      </w:pPr>
      <w:bookmarkStart w:id="16" w:name="_Toc531873929"/>
      <w:r w:rsidRPr="00AE1B65">
        <w:lastRenderedPageBreak/>
        <w:t xml:space="preserve">Table </w:t>
      </w:r>
      <w:fldSimple w:instr=" SEQ Table \* ARABIC ">
        <w:r>
          <w:rPr>
            <w:noProof/>
          </w:rPr>
          <w:t>1</w:t>
        </w:r>
      </w:fldSimple>
      <w:bookmarkEnd w:id="15"/>
      <w:r w:rsidRPr="00AE1B65">
        <w:t xml:space="preserve"> Current licensed TNF inhibitors (TNFi) available in the UK</w:t>
      </w:r>
      <w:bookmarkEnd w:id="16"/>
    </w:p>
    <w:tbl>
      <w:tblPr>
        <w:tblStyle w:val="PlainTable21"/>
        <w:tblW w:w="11805" w:type="dxa"/>
        <w:tblLayout w:type="fixed"/>
        <w:tblLook w:val="0420" w:firstRow="1" w:lastRow="0" w:firstColumn="0" w:lastColumn="0" w:noHBand="0" w:noVBand="1"/>
      </w:tblPr>
      <w:tblGrid>
        <w:gridCol w:w="1881"/>
        <w:gridCol w:w="1881"/>
        <w:gridCol w:w="2079"/>
        <w:gridCol w:w="2079"/>
        <w:gridCol w:w="2079"/>
        <w:gridCol w:w="1806"/>
      </w:tblGrid>
      <w:tr w:rsidR="00332E72" w:rsidRPr="002753E5" w14:paraId="2B2414BB" w14:textId="77777777" w:rsidTr="00332E72">
        <w:trPr>
          <w:cnfStyle w:val="100000000000" w:firstRow="1" w:lastRow="0" w:firstColumn="0" w:lastColumn="0" w:oddVBand="0" w:evenVBand="0" w:oddHBand="0" w:evenHBand="0" w:firstRowFirstColumn="0" w:firstRowLastColumn="0" w:lastRowFirstColumn="0" w:lastRowLastColumn="0"/>
          <w:trHeight w:val="584"/>
        </w:trPr>
        <w:tc>
          <w:tcPr>
            <w:tcW w:w="1881" w:type="dxa"/>
          </w:tcPr>
          <w:p w14:paraId="754D4F44" w14:textId="77777777" w:rsidR="00332E72" w:rsidRPr="00332E72" w:rsidRDefault="00332E72" w:rsidP="00094335">
            <w:pPr>
              <w:overflowPunct/>
              <w:autoSpaceDE/>
              <w:autoSpaceDN/>
              <w:adjustRightInd/>
              <w:textAlignment w:val="auto"/>
              <w:rPr>
                <w:b w:val="0"/>
                <w:bCs w:val="0"/>
                <w:kern w:val="24"/>
                <w:sz w:val="22"/>
                <w:szCs w:val="22"/>
                <w:lang w:eastAsia="en-GB"/>
              </w:rPr>
            </w:pPr>
          </w:p>
        </w:tc>
        <w:tc>
          <w:tcPr>
            <w:tcW w:w="1881" w:type="dxa"/>
            <w:hideMark/>
          </w:tcPr>
          <w:p w14:paraId="67F8F034" w14:textId="492D98D7" w:rsidR="00332E72" w:rsidRPr="00332E72" w:rsidRDefault="00332E72" w:rsidP="00094335">
            <w:pPr>
              <w:overflowPunct/>
              <w:autoSpaceDE/>
              <w:autoSpaceDN/>
              <w:adjustRightInd/>
              <w:textAlignment w:val="auto"/>
              <w:rPr>
                <w:sz w:val="22"/>
                <w:szCs w:val="22"/>
                <w:lang w:eastAsia="en-GB"/>
              </w:rPr>
            </w:pPr>
            <w:r w:rsidRPr="00332E72">
              <w:rPr>
                <w:b w:val="0"/>
                <w:bCs w:val="0"/>
                <w:kern w:val="24"/>
                <w:sz w:val="22"/>
                <w:szCs w:val="22"/>
                <w:lang w:eastAsia="en-GB"/>
              </w:rPr>
              <w:t>Adalimumab</w:t>
            </w:r>
          </w:p>
          <w:p w14:paraId="5423F266" w14:textId="77777777" w:rsidR="00332E72" w:rsidRPr="00332E72" w:rsidRDefault="00332E72" w:rsidP="00094335">
            <w:pPr>
              <w:overflowPunct/>
              <w:autoSpaceDE/>
              <w:autoSpaceDN/>
              <w:adjustRightInd/>
              <w:textAlignment w:val="auto"/>
              <w:rPr>
                <w:sz w:val="22"/>
                <w:szCs w:val="22"/>
                <w:lang w:eastAsia="en-GB"/>
              </w:rPr>
            </w:pPr>
            <w:r w:rsidRPr="00332E72">
              <w:rPr>
                <w:b w:val="0"/>
                <w:bCs w:val="0"/>
                <w:kern w:val="24"/>
                <w:sz w:val="22"/>
                <w:szCs w:val="22"/>
                <w:lang w:eastAsia="en-GB"/>
              </w:rPr>
              <w:t>(Humira®)</w:t>
            </w:r>
          </w:p>
        </w:tc>
        <w:tc>
          <w:tcPr>
            <w:tcW w:w="2079" w:type="dxa"/>
            <w:hideMark/>
          </w:tcPr>
          <w:p w14:paraId="02172866" w14:textId="77777777" w:rsidR="00332E72" w:rsidRPr="00332E72" w:rsidRDefault="00332E72" w:rsidP="00094335">
            <w:pPr>
              <w:overflowPunct/>
              <w:autoSpaceDE/>
              <w:autoSpaceDN/>
              <w:adjustRightInd/>
              <w:textAlignment w:val="auto"/>
              <w:rPr>
                <w:rFonts w:ascii="Arial" w:hAnsi="Arial" w:cs="Arial"/>
                <w:sz w:val="22"/>
                <w:szCs w:val="22"/>
                <w:lang w:eastAsia="en-GB"/>
              </w:rPr>
            </w:pPr>
            <w:r w:rsidRPr="00332E72">
              <w:rPr>
                <w:rFonts w:ascii="Constantia" w:hAnsi="Constantia" w:cs="Arial"/>
                <w:b w:val="0"/>
                <w:bCs w:val="0"/>
                <w:kern w:val="24"/>
                <w:sz w:val="22"/>
                <w:szCs w:val="22"/>
                <w:lang w:eastAsia="en-GB"/>
              </w:rPr>
              <w:t>Etanercept</w:t>
            </w:r>
          </w:p>
          <w:p w14:paraId="4D756F66" w14:textId="77777777" w:rsidR="00332E72" w:rsidRPr="00332E72" w:rsidRDefault="00332E72" w:rsidP="00094335">
            <w:pPr>
              <w:overflowPunct/>
              <w:autoSpaceDE/>
              <w:autoSpaceDN/>
              <w:adjustRightInd/>
              <w:textAlignment w:val="auto"/>
              <w:rPr>
                <w:rFonts w:ascii="Arial" w:hAnsi="Arial" w:cs="Arial"/>
                <w:sz w:val="36"/>
                <w:szCs w:val="36"/>
                <w:lang w:eastAsia="en-GB"/>
              </w:rPr>
            </w:pPr>
            <w:r w:rsidRPr="00332E72">
              <w:rPr>
                <w:rFonts w:ascii="Constantia" w:hAnsi="Constantia" w:cs="Arial"/>
                <w:b w:val="0"/>
                <w:bCs w:val="0"/>
                <w:kern w:val="24"/>
                <w:sz w:val="22"/>
                <w:szCs w:val="22"/>
                <w:lang w:eastAsia="en-GB"/>
              </w:rPr>
              <w:t>(Enbrel®)</w:t>
            </w:r>
          </w:p>
        </w:tc>
        <w:tc>
          <w:tcPr>
            <w:tcW w:w="2079" w:type="dxa"/>
            <w:hideMark/>
          </w:tcPr>
          <w:p w14:paraId="2D3F8B8D" w14:textId="77777777" w:rsidR="00332E72" w:rsidRPr="00332E72" w:rsidRDefault="00332E72" w:rsidP="00094335">
            <w:pPr>
              <w:overflowPunct/>
              <w:autoSpaceDE/>
              <w:autoSpaceDN/>
              <w:adjustRightInd/>
              <w:textAlignment w:val="auto"/>
              <w:rPr>
                <w:sz w:val="22"/>
                <w:szCs w:val="22"/>
                <w:lang w:eastAsia="en-GB"/>
              </w:rPr>
            </w:pPr>
            <w:r w:rsidRPr="00332E72">
              <w:rPr>
                <w:b w:val="0"/>
                <w:bCs w:val="0"/>
                <w:kern w:val="24"/>
                <w:sz w:val="22"/>
                <w:szCs w:val="22"/>
                <w:lang w:eastAsia="en-GB"/>
              </w:rPr>
              <w:t>Certolizumab</w:t>
            </w:r>
          </w:p>
          <w:p w14:paraId="79D9757D" w14:textId="77777777" w:rsidR="00332E72" w:rsidRPr="00332E72" w:rsidRDefault="00332E72" w:rsidP="00094335">
            <w:pPr>
              <w:overflowPunct/>
              <w:autoSpaceDE/>
              <w:autoSpaceDN/>
              <w:adjustRightInd/>
              <w:textAlignment w:val="auto"/>
              <w:rPr>
                <w:sz w:val="22"/>
                <w:szCs w:val="22"/>
                <w:lang w:eastAsia="en-GB"/>
              </w:rPr>
            </w:pPr>
            <w:r w:rsidRPr="00332E72">
              <w:rPr>
                <w:b w:val="0"/>
                <w:bCs w:val="0"/>
                <w:kern w:val="24"/>
                <w:sz w:val="22"/>
                <w:szCs w:val="22"/>
                <w:lang w:eastAsia="en-GB"/>
              </w:rPr>
              <w:t>(Cimzia®)</w:t>
            </w:r>
          </w:p>
        </w:tc>
        <w:tc>
          <w:tcPr>
            <w:tcW w:w="2079" w:type="dxa"/>
            <w:hideMark/>
          </w:tcPr>
          <w:p w14:paraId="267D3160" w14:textId="77777777" w:rsidR="00332E72" w:rsidRPr="00332E72" w:rsidRDefault="00332E72" w:rsidP="00094335">
            <w:pPr>
              <w:overflowPunct/>
              <w:autoSpaceDE/>
              <w:autoSpaceDN/>
              <w:adjustRightInd/>
              <w:textAlignment w:val="auto"/>
              <w:rPr>
                <w:rFonts w:ascii="Arial" w:hAnsi="Arial" w:cs="Arial"/>
                <w:sz w:val="22"/>
                <w:szCs w:val="22"/>
                <w:lang w:eastAsia="en-GB"/>
              </w:rPr>
            </w:pPr>
            <w:r w:rsidRPr="00332E72">
              <w:rPr>
                <w:rFonts w:ascii="Constantia" w:hAnsi="Constantia" w:cs="Arial"/>
                <w:b w:val="0"/>
                <w:bCs w:val="0"/>
                <w:kern w:val="24"/>
                <w:sz w:val="22"/>
                <w:szCs w:val="22"/>
                <w:lang w:eastAsia="en-GB"/>
              </w:rPr>
              <w:t>Golimumab</w:t>
            </w:r>
          </w:p>
          <w:p w14:paraId="2BDBF82F" w14:textId="77777777" w:rsidR="00332E72" w:rsidRPr="00332E72" w:rsidRDefault="00332E72" w:rsidP="00094335">
            <w:pPr>
              <w:overflowPunct/>
              <w:autoSpaceDE/>
              <w:autoSpaceDN/>
              <w:adjustRightInd/>
              <w:textAlignment w:val="auto"/>
              <w:rPr>
                <w:rFonts w:ascii="Arial" w:hAnsi="Arial" w:cs="Arial"/>
                <w:sz w:val="22"/>
                <w:szCs w:val="22"/>
                <w:lang w:eastAsia="en-GB"/>
              </w:rPr>
            </w:pPr>
            <w:r w:rsidRPr="00332E72">
              <w:rPr>
                <w:rFonts w:ascii="Constantia" w:hAnsi="Constantia" w:cs="Arial"/>
                <w:b w:val="0"/>
                <w:bCs w:val="0"/>
                <w:kern w:val="24"/>
                <w:sz w:val="22"/>
                <w:szCs w:val="22"/>
                <w:lang w:eastAsia="en-GB"/>
              </w:rPr>
              <w:t>(Simponi®)</w:t>
            </w:r>
          </w:p>
        </w:tc>
        <w:tc>
          <w:tcPr>
            <w:tcW w:w="1806" w:type="dxa"/>
            <w:hideMark/>
          </w:tcPr>
          <w:p w14:paraId="30CCE16A" w14:textId="77777777" w:rsidR="00332E72" w:rsidRPr="00332E72" w:rsidRDefault="00332E72" w:rsidP="00094335">
            <w:pPr>
              <w:overflowPunct/>
              <w:autoSpaceDE/>
              <w:autoSpaceDN/>
              <w:adjustRightInd/>
              <w:textAlignment w:val="auto"/>
              <w:rPr>
                <w:szCs w:val="24"/>
                <w:lang w:eastAsia="en-GB"/>
              </w:rPr>
            </w:pPr>
            <w:r w:rsidRPr="00332E72">
              <w:rPr>
                <w:b w:val="0"/>
                <w:bCs w:val="0"/>
                <w:kern w:val="24"/>
                <w:szCs w:val="24"/>
                <w:lang w:eastAsia="en-GB"/>
              </w:rPr>
              <w:t>Infliximab</w:t>
            </w:r>
          </w:p>
          <w:p w14:paraId="3EF07E25" w14:textId="77777777" w:rsidR="00332E72" w:rsidRPr="00332E72" w:rsidRDefault="00332E72" w:rsidP="00094335">
            <w:pPr>
              <w:overflowPunct/>
              <w:autoSpaceDE/>
              <w:autoSpaceDN/>
              <w:adjustRightInd/>
              <w:textAlignment w:val="auto"/>
              <w:rPr>
                <w:szCs w:val="24"/>
                <w:lang w:eastAsia="en-GB"/>
              </w:rPr>
            </w:pPr>
            <w:r w:rsidRPr="00332E72">
              <w:rPr>
                <w:b w:val="0"/>
                <w:bCs w:val="0"/>
                <w:kern w:val="24"/>
                <w:szCs w:val="24"/>
                <w:lang w:eastAsia="en-GB"/>
              </w:rPr>
              <w:t>(Remicade®)</w:t>
            </w:r>
          </w:p>
        </w:tc>
      </w:tr>
      <w:tr w:rsidR="00332E72" w:rsidRPr="002753E5" w14:paraId="694AF7F1" w14:textId="77777777" w:rsidTr="001D1703">
        <w:trPr>
          <w:cnfStyle w:val="000000100000" w:firstRow="0" w:lastRow="0" w:firstColumn="0" w:lastColumn="0" w:oddVBand="0" w:evenVBand="0" w:oddHBand="1" w:evenHBand="0" w:firstRowFirstColumn="0" w:firstRowLastColumn="0" w:lastRowFirstColumn="0" w:lastRowLastColumn="0"/>
          <w:trHeight w:val="1223"/>
        </w:trPr>
        <w:tc>
          <w:tcPr>
            <w:tcW w:w="1881" w:type="dxa"/>
          </w:tcPr>
          <w:p w14:paraId="7DA31C6A" w14:textId="3E87FC2C" w:rsidR="00332E72" w:rsidRPr="002753E5" w:rsidRDefault="00332E72" w:rsidP="0009433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Mechanism of action</w:t>
            </w:r>
          </w:p>
        </w:tc>
        <w:tc>
          <w:tcPr>
            <w:tcW w:w="1881" w:type="dxa"/>
            <w:hideMark/>
          </w:tcPr>
          <w:p w14:paraId="18BCC383" w14:textId="0D160C8D" w:rsidR="00332E72" w:rsidRPr="002753E5" w:rsidRDefault="00332E72" w:rsidP="001D1703">
            <w:pPr>
              <w:overflowPunct/>
              <w:autoSpaceDE/>
              <w:autoSpaceDN/>
              <w:adjustRightInd/>
              <w:contextualSpacing/>
              <w:textAlignment w:val="auto"/>
              <w:rPr>
                <w:sz w:val="22"/>
                <w:szCs w:val="22"/>
                <w:lang w:eastAsia="en-GB"/>
              </w:rPr>
            </w:pPr>
            <w:r w:rsidRPr="002753E5">
              <w:rPr>
                <w:color w:val="000000"/>
                <w:kern w:val="24"/>
                <w:sz w:val="22"/>
                <w:szCs w:val="22"/>
                <w:lang w:eastAsia="en-GB"/>
              </w:rPr>
              <w:t>Humanised monoclonal antibody</w:t>
            </w:r>
          </w:p>
        </w:tc>
        <w:tc>
          <w:tcPr>
            <w:tcW w:w="2079" w:type="dxa"/>
            <w:hideMark/>
          </w:tcPr>
          <w:p w14:paraId="20CED965" w14:textId="38E55C1C" w:rsidR="00332E72" w:rsidRPr="002753E5" w:rsidRDefault="00332E72" w:rsidP="001D1703">
            <w:pPr>
              <w:overflowPunct/>
              <w:autoSpaceDE/>
              <w:autoSpaceDN/>
              <w:adjustRightInd/>
              <w:contextualSpacing/>
              <w:textAlignment w:val="auto"/>
              <w:rPr>
                <w:rFonts w:ascii="Arial" w:hAnsi="Arial" w:cs="Arial"/>
                <w:szCs w:val="36"/>
                <w:lang w:eastAsia="en-GB"/>
              </w:rPr>
            </w:pPr>
            <w:r w:rsidRPr="002753E5">
              <w:rPr>
                <w:color w:val="000000"/>
                <w:kern w:val="24"/>
                <w:sz w:val="22"/>
                <w:szCs w:val="22"/>
                <w:lang w:eastAsia="en-GB"/>
              </w:rPr>
              <w:t>P75 fc fusion protein</w:t>
            </w:r>
          </w:p>
        </w:tc>
        <w:tc>
          <w:tcPr>
            <w:tcW w:w="2079" w:type="dxa"/>
            <w:hideMark/>
          </w:tcPr>
          <w:p w14:paraId="6FF6577B" w14:textId="4929698A" w:rsidR="00332E72" w:rsidRPr="002753E5" w:rsidRDefault="00332E72" w:rsidP="001D1703">
            <w:pPr>
              <w:overflowPunct/>
              <w:autoSpaceDE/>
              <w:autoSpaceDN/>
              <w:adjustRightInd/>
              <w:contextualSpacing/>
              <w:textAlignment w:val="auto"/>
              <w:rPr>
                <w:sz w:val="22"/>
                <w:szCs w:val="22"/>
                <w:lang w:eastAsia="en-GB"/>
              </w:rPr>
            </w:pPr>
            <w:r w:rsidRPr="002753E5">
              <w:rPr>
                <w:color w:val="000000"/>
                <w:kern w:val="24"/>
                <w:sz w:val="22"/>
                <w:szCs w:val="22"/>
                <w:lang w:eastAsia="en-GB"/>
              </w:rPr>
              <w:t>Fab fragment</w:t>
            </w:r>
          </w:p>
        </w:tc>
        <w:tc>
          <w:tcPr>
            <w:tcW w:w="2079" w:type="dxa"/>
            <w:hideMark/>
          </w:tcPr>
          <w:p w14:paraId="2E07C7BC" w14:textId="5069E7AE" w:rsidR="00332E72" w:rsidRPr="001D1703" w:rsidRDefault="00332E72" w:rsidP="001D1703">
            <w:pPr>
              <w:overflowPunct/>
              <w:autoSpaceDE/>
              <w:autoSpaceDN/>
              <w:adjustRightInd/>
              <w:contextualSpacing/>
              <w:textAlignment w:val="auto"/>
              <w:rPr>
                <w:sz w:val="22"/>
                <w:szCs w:val="22"/>
                <w:lang w:eastAsia="en-GB"/>
              </w:rPr>
            </w:pPr>
            <w:r w:rsidRPr="00D67621">
              <w:rPr>
                <w:color w:val="000000"/>
                <w:kern w:val="24"/>
                <w:sz w:val="22"/>
                <w:szCs w:val="22"/>
                <w:lang w:eastAsia="en-GB"/>
              </w:rPr>
              <w:t>Humanised monoclonal antibody</w:t>
            </w:r>
          </w:p>
        </w:tc>
        <w:tc>
          <w:tcPr>
            <w:tcW w:w="1806" w:type="dxa"/>
            <w:hideMark/>
          </w:tcPr>
          <w:p w14:paraId="7B8646F1" w14:textId="77777777" w:rsidR="00332E72" w:rsidRPr="00D67621" w:rsidRDefault="00332E72" w:rsidP="00094335">
            <w:pPr>
              <w:overflowPunct/>
              <w:autoSpaceDE/>
              <w:autoSpaceDN/>
              <w:adjustRightInd/>
              <w:contextualSpacing/>
              <w:textAlignment w:val="auto"/>
              <w:rPr>
                <w:sz w:val="22"/>
                <w:szCs w:val="22"/>
                <w:lang w:eastAsia="en-GB"/>
              </w:rPr>
            </w:pPr>
            <w:r w:rsidRPr="00D67621">
              <w:rPr>
                <w:color w:val="000000"/>
                <w:kern w:val="24"/>
                <w:sz w:val="22"/>
                <w:szCs w:val="22"/>
                <w:lang w:eastAsia="en-GB"/>
              </w:rPr>
              <w:t>Chimeric human/ marine antibody</w:t>
            </w:r>
          </w:p>
          <w:p w14:paraId="695C8EF9" w14:textId="77777777" w:rsidR="00332E72" w:rsidRPr="00D67621" w:rsidRDefault="00332E72" w:rsidP="00094335">
            <w:pPr>
              <w:overflowPunct/>
              <w:autoSpaceDE/>
              <w:autoSpaceDN/>
              <w:adjustRightInd/>
              <w:contextualSpacing/>
              <w:textAlignment w:val="auto"/>
              <w:rPr>
                <w:color w:val="000000"/>
                <w:kern w:val="24"/>
                <w:sz w:val="22"/>
                <w:szCs w:val="22"/>
                <w:lang w:eastAsia="en-GB"/>
              </w:rPr>
            </w:pPr>
          </w:p>
          <w:p w14:paraId="02A75A97" w14:textId="53A03A88" w:rsidR="00332E72" w:rsidRPr="00D7117D" w:rsidRDefault="00332E72" w:rsidP="001D1703">
            <w:pPr>
              <w:overflowPunct/>
              <w:autoSpaceDE/>
              <w:autoSpaceDN/>
              <w:adjustRightInd/>
              <w:contextualSpacing/>
              <w:textAlignment w:val="auto"/>
              <w:rPr>
                <w:szCs w:val="24"/>
                <w:lang w:eastAsia="en-GB"/>
              </w:rPr>
            </w:pPr>
            <w:r w:rsidRPr="00D67621">
              <w:rPr>
                <w:color w:val="000000"/>
                <w:kern w:val="24"/>
                <w:sz w:val="22"/>
                <w:szCs w:val="22"/>
                <w:lang w:eastAsia="en-GB"/>
              </w:rPr>
              <w:t>Intravenous infusion</w:t>
            </w:r>
          </w:p>
        </w:tc>
      </w:tr>
      <w:tr w:rsidR="00332E72" w:rsidRPr="002753E5" w14:paraId="39EE8DF2" w14:textId="77777777" w:rsidTr="001D1703">
        <w:trPr>
          <w:trHeight w:val="2076"/>
        </w:trPr>
        <w:tc>
          <w:tcPr>
            <w:tcW w:w="1881" w:type="dxa"/>
          </w:tcPr>
          <w:p w14:paraId="749A981A" w14:textId="6FF81E96" w:rsidR="00332E72" w:rsidRPr="002753E5" w:rsidRDefault="00332E72" w:rsidP="0009433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Licensing indication</w:t>
            </w:r>
          </w:p>
        </w:tc>
        <w:tc>
          <w:tcPr>
            <w:tcW w:w="1881" w:type="dxa"/>
          </w:tcPr>
          <w:p w14:paraId="36CC58B3" w14:textId="77777777" w:rsidR="00332E72" w:rsidRPr="002753E5" w:rsidRDefault="00332E72" w:rsidP="00332E72">
            <w:pPr>
              <w:overflowPunct/>
              <w:autoSpaceDE/>
              <w:autoSpaceDN/>
              <w:adjustRightInd/>
              <w:contextualSpacing/>
              <w:textAlignment w:val="auto"/>
              <w:rPr>
                <w:sz w:val="22"/>
                <w:szCs w:val="22"/>
                <w:lang w:eastAsia="en-GB"/>
              </w:rPr>
            </w:pPr>
            <w:r w:rsidRPr="002753E5">
              <w:rPr>
                <w:color w:val="000000"/>
                <w:kern w:val="24"/>
                <w:sz w:val="22"/>
                <w:szCs w:val="22"/>
                <w:lang w:eastAsia="en-GB"/>
              </w:rPr>
              <w:t>RA</w:t>
            </w:r>
          </w:p>
          <w:p w14:paraId="6612FB21" w14:textId="77777777" w:rsidR="00332E72" w:rsidRPr="002753E5" w:rsidRDefault="00332E72" w:rsidP="00332E72">
            <w:pPr>
              <w:overflowPunct/>
              <w:autoSpaceDE/>
              <w:autoSpaceDN/>
              <w:adjustRightInd/>
              <w:contextualSpacing/>
              <w:textAlignment w:val="auto"/>
              <w:rPr>
                <w:sz w:val="22"/>
                <w:szCs w:val="22"/>
                <w:lang w:eastAsia="en-GB"/>
              </w:rPr>
            </w:pPr>
            <w:r w:rsidRPr="002753E5">
              <w:rPr>
                <w:color w:val="000000"/>
                <w:kern w:val="24"/>
                <w:sz w:val="22"/>
                <w:szCs w:val="22"/>
                <w:lang w:eastAsia="en-GB"/>
              </w:rPr>
              <w:t>PsA</w:t>
            </w:r>
          </w:p>
          <w:p w14:paraId="07762995" w14:textId="77777777" w:rsidR="00332E72" w:rsidRPr="002753E5" w:rsidRDefault="00332E72" w:rsidP="00332E72">
            <w:pPr>
              <w:overflowPunct/>
              <w:autoSpaceDE/>
              <w:autoSpaceDN/>
              <w:adjustRightInd/>
              <w:contextualSpacing/>
              <w:textAlignment w:val="auto"/>
              <w:rPr>
                <w:sz w:val="22"/>
                <w:szCs w:val="22"/>
                <w:lang w:eastAsia="en-GB"/>
              </w:rPr>
            </w:pPr>
            <w:r w:rsidRPr="002753E5">
              <w:rPr>
                <w:color w:val="000000"/>
                <w:kern w:val="24"/>
                <w:sz w:val="22"/>
                <w:szCs w:val="22"/>
                <w:lang w:eastAsia="en-GB"/>
              </w:rPr>
              <w:t>AS</w:t>
            </w:r>
          </w:p>
          <w:p w14:paraId="1615C995" w14:textId="2ABF6DE9" w:rsidR="00604B75" w:rsidRPr="002753E5" w:rsidRDefault="00B014CA" w:rsidP="00604B75">
            <w:pPr>
              <w:overflowPunct/>
              <w:autoSpaceDE/>
              <w:autoSpaceDN/>
              <w:adjustRightInd/>
              <w:contextualSpacing/>
              <w:textAlignment w:val="auto"/>
              <w:rPr>
                <w:sz w:val="22"/>
                <w:szCs w:val="22"/>
                <w:lang w:eastAsia="en-GB"/>
              </w:rPr>
            </w:pPr>
            <w:r>
              <w:rPr>
                <w:color w:val="000000"/>
                <w:kern w:val="24"/>
                <w:sz w:val="22"/>
                <w:szCs w:val="22"/>
                <w:lang w:eastAsia="en-GB"/>
              </w:rPr>
              <w:t>nr</w:t>
            </w:r>
            <w:r w:rsidR="00604B75" w:rsidRPr="002753E5">
              <w:rPr>
                <w:color w:val="000000"/>
                <w:kern w:val="24"/>
                <w:sz w:val="22"/>
                <w:szCs w:val="22"/>
                <w:lang w:eastAsia="en-GB"/>
              </w:rPr>
              <w:t>Axial spondyloarthritis</w:t>
            </w:r>
          </w:p>
          <w:p w14:paraId="61E8D81F" w14:textId="77777777" w:rsidR="00604B75" w:rsidRPr="002753E5" w:rsidRDefault="00604B75" w:rsidP="00604B75">
            <w:pPr>
              <w:overflowPunct/>
              <w:autoSpaceDE/>
              <w:autoSpaceDN/>
              <w:adjustRightInd/>
              <w:contextualSpacing/>
              <w:textAlignment w:val="auto"/>
              <w:rPr>
                <w:sz w:val="22"/>
                <w:szCs w:val="22"/>
                <w:lang w:eastAsia="en-GB"/>
              </w:rPr>
            </w:pPr>
            <w:r w:rsidRPr="002753E5">
              <w:rPr>
                <w:color w:val="000000"/>
                <w:kern w:val="24"/>
                <w:sz w:val="22"/>
                <w:szCs w:val="22"/>
                <w:lang w:eastAsia="en-GB"/>
              </w:rPr>
              <w:t>JIA</w:t>
            </w:r>
          </w:p>
          <w:p w14:paraId="69CA01FF" w14:textId="5F935BE4" w:rsidR="00332E72" w:rsidRPr="002753E5" w:rsidRDefault="00332E72" w:rsidP="00332E72">
            <w:pPr>
              <w:overflowPunct/>
              <w:autoSpaceDE/>
              <w:autoSpaceDN/>
              <w:adjustRightInd/>
              <w:contextualSpacing/>
              <w:textAlignment w:val="auto"/>
              <w:rPr>
                <w:color w:val="000000"/>
                <w:kern w:val="24"/>
                <w:sz w:val="22"/>
                <w:szCs w:val="22"/>
                <w:lang w:eastAsia="en-GB"/>
              </w:rPr>
            </w:pPr>
          </w:p>
        </w:tc>
        <w:tc>
          <w:tcPr>
            <w:tcW w:w="2079" w:type="dxa"/>
          </w:tcPr>
          <w:p w14:paraId="2E9F1076" w14:textId="77777777" w:rsidR="001D1703" w:rsidRPr="002753E5" w:rsidRDefault="001D1703" w:rsidP="001D1703">
            <w:pPr>
              <w:overflowPunct/>
              <w:autoSpaceDE/>
              <w:autoSpaceDN/>
              <w:adjustRightInd/>
              <w:contextualSpacing/>
              <w:textAlignment w:val="auto"/>
              <w:rPr>
                <w:sz w:val="22"/>
                <w:szCs w:val="22"/>
                <w:lang w:eastAsia="en-GB"/>
              </w:rPr>
            </w:pPr>
            <w:r w:rsidRPr="002753E5">
              <w:rPr>
                <w:color w:val="000000"/>
                <w:kern w:val="24"/>
                <w:sz w:val="22"/>
                <w:szCs w:val="22"/>
                <w:lang w:eastAsia="en-GB"/>
              </w:rPr>
              <w:t>RA</w:t>
            </w:r>
          </w:p>
          <w:p w14:paraId="7600967C" w14:textId="77777777" w:rsidR="001D1703" w:rsidRPr="002753E5" w:rsidRDefault="001D1703" w:rsidP="001D1703">
            <w:pPr>
              <w:overflowPunct/>
              <w:autoSpaceDE/>
              <w:autoSpaceDN/>
              <w:adjustRightInd/>
              <w:contextualSpacing/>
              <w:textAlignment w:val="auto"/>
              <w:rPr>
                <w:sz w:val="22"/>
                <w:szCs w:val="22"/>
                <w:lang w:eastAsia="en-GB"/>
              </w:rPr>
            </w:pPr>
            <w:r w:rsidRPr="002753E5">
              <w:rPr>
                <w:color w:val="000000"/>
                <w:kern w:val="24"/>
                <w:sz w:val="22"/>
                <w:szCs w:val="22"/>
                <w:lang w:eastAsia="en-GB"/>
              </w:rPr>
              <w:t>PsA</w:t>
            </w:r>
          </w:p>
          <w:p w14:paraId="0F9A0D09" w14:textId="1780A7C9" w:rsidR="001D1703" w:rsidRDefault="001D1703" w:rsidP="001D1703">
            <w:pPr>
              <w:overflowPunct/>
              <w:autoSpaceDE/>
              <w:autoSpaceDN/>
              <w:adjustRightInd/>
              <w:contextualSpacing/>
              <w:textAlignment w:val="auto"/>
              <w:rPr>
                <w:color w:val="000000"/>
                <w:kern w:val="24"/>
                <w:sz w:val="22"/>
                <w:szCs w:val="22"/>
                <w:lang w:eastAsia="en-GB"/>
              </w:rPr>
            </w:pPr>
            <w:r w:rsidRPr="002753E5">
              <w:rPr>
                <w:color w:val="000000"/>
                <w:kern w:val="24"/>
                <w:sz w:val="22"/>
                <w:szCs w:val="22"/>
                <w:lang w:eastAsia="en-GB"/>
              </w:rPr>
              <w:t>AS</w:t>
            </w:r>
          </w:p>
          <w:p w14:paraId="5A4BD621" w14:textId="77777777" w:rsidR="00B014CA" w:rsidRPr="002753E5" w:rsidRDefault="00B014CA" w:rsidP="00B014CA">
            <w:pPr>
              <w:overflowPunct/>
              <w:autoSpaceDE/>
              <w:autoSpaceDN/>
              <w:adjustRightInd/>
              <w:contextualSpacing/>
              <w:textAlignment w:val="auto"/>
              <w:rPr>
                <w:sz w:val="22"/>
                <w:szCs w:val="22"/>
                <w:lang w:eastAsia="en-GB"/>
              </w:rPr>
            </w:pPr>
            <w:r>
              <w:rPr>
                <w:color w:val="000000"/>
                <w:kern w:val="24"/>
                <w:sz w:val="22"/>
                <w:szCs w:val="22"/>
                <w:lang w:eastAsia="en-GB"/>
              </w:rPr>
              <w:t>nr</w:t>
            </w:r>
            <w:r w:rsidRPr="002753E5">
              <w:rPr>
                <w:color w:val="000000"/>
                <w:kern w:val="24"/>
                <w:sz w:val="22"/>
                <w:szCs w:val="22"/>
                <w:lang w:eastAsia="en-GB"/>
              </w:rPr>
              <w:t xml:space="preserve">Axial </w:t>
            </w:r>
            <w:r>
              <w:rPr>
                <w:color w:val="000000"/>
                <w:kern w:val="24"/>
                <w:sz w:val="22"/>
                <w:szCs w:val="22"/>
                <w:lang w:eastAsia="en-GB"/>
              </w:rPr>
              <w:t xml:space="preserve">  </w:t>
            </w:r>
            <w:r w:rsidRPr="002753E5">
              <w:rPr>
                <w:color w:val="000000"/>
                <w:kern w:val="24"/>
                <w:sz w:val="22"/>
                <w:szCs w:val="22"/>
                <w:lang w:eastAsia="en-GB"/>
              </w:rPr>
              <w:t>spondyloarthritis</w:t>
            </w:r>
          </w:p>
          <w:p w14:paraId="166CFBC4" w14:textId="77777777" w:rsidR="00604B75" w:rsidRPr="002753E5" w:rsidRDefault="00604B75" w:rsidP="00604B75">
            <w:pPr>
              <w:overflowPunct/>
              <w:autoSpaceDE/>
              <w:autoSpaceDN/>
              <w:adjustRightInd/>
              <w:contextualSpacing/>
              <w:textAlignment w:val="auto"/>
              <w:rPr>
                <w:sz w:val="22"/>
                <w:szCs w:val="22"/>
                <w:lang w:eastAsia="en-GB"/>
              </w:rPr>
            </w:pPr>
            <w:r w:rsidRPr="002753E5">
              <w:rPr>
                <w:color w:val="000000"/>
                <w:kern w:val="24"/>
                <w:sz w:val="22"/>
                <w:szCs w:val="22"/>
                <w:lang w:eastAsia="en-GB"/>
              </w:rPr>
              <w:t>JIA</w:t>
            </w:r>
          </w:p>
          <w:p w14:paraId="05BB8ADA" w14:textId="23E52190" w:rsidR="00332E72" w:rsidRPr="002753E5" w:rsidRDefault="00332E72" w:rsidP="001D1703">
            <w:pPr>
              <w:overflowPunct/>
              <w:autoSpaceDE/>
              <w:autoSpaceDN/>
              <w:adjustRightInd/>
              <w:contextualSpacing/>
              <w:textAlignment w:val="auto"/>
              <w:rPr>
                <w:color w:val="000000"/>
                <w:kern w:val="24"/>
                <w:sz w:val="22"/>
                <w:szCs w:val="22"/>
                <w:lang w:eastAsia="en-GB"/>
              </w:rPr>
            </w:pPr>
          </w:p>
        </w:tc>
        <w:tc>
          <w:tcPr>
            <w:tcW w:w="2079" w:type="dxa"/>
          </w:tcPr>
          <w:p w14:paraId="38F0C82E" w14:textId="77777777" w:rsidR="001D1703" w:rsidRPr="002753E5" w:rsidRDefault="001D1703" w:rsidP="001D1703">
            <w:pPr>
              <w:overflowPunct/>
              <w:autoSpaceDE/>
              <w:autoSpaceDN/>
              <w:adjustRightInd/>
              <w:contextualSpacing/>
              <w:textAlignment w:val="auto"/>
              <w:rPr>
                <w:sz w:val="22"/>
                <w:szCs w:val="22"/>
                <w:lang w:eastAsia="en-GB"/>
              </w:rPr>
            </w:pPr>
            <w:r w:rsidRPr="002753E5">
              <w:rPr>
                <w:color w:val="000000"/>
                <w:kern w:val="24"/>
                <w:sz w:val="22"/>
                <w:szCs w:val="22"/>
                <w:lang w:eastAsia="en-GB"/>
              </w:rPr>
              <w:t>RA</w:t>
            </w:r>
          </w:p>
          <w:p w14:paraId="27F1E11D" w14:textId="5A5702BA" w:rsidR="00604B75" w:rsidRDefault="00604B75" w:rsidP="001D1703">
            <w:pPr>
              <w:overflowPunct/>
              <w:autoSpaceDE/>
              <w:autoSpaceDN/>
              <w:adjustRightInd/>
              <w:contextualSpacing/>
              <w:textAlignment w:val="auto"/>
              <w:rPr>
                <w:color w:val="000000"/>
                <w:kern w:val="24"/>
                <w:sz w:val="22"/>
                <w:szCs w:val="22"/>
                <w:lang w:eastAsia="en-GB"/>
              </w:rPr>
            </w:pPr>
            <w:r w:rsidRPr="002753E5">
              <w:rPr>
                <w:color w:val="000000"/>
                <w:kern w:val="24"/>
                <w:sz w:val="22"/>
                <w:szCs w:val="22"/>
                <w:lang w:eastAsia="en-GB"/>
              </w:rPr>
              <w:t xml:space="preserve">PsA </w:t>
            </w:r>
            <w:r w:rsidR="00B014CA">
              <w:rPr>
                <w:color w:val="000000"/>
                <w:kern w:val="24"/>
                <w:sz w:val="22"/>
                <w:szCs w:val="22"/>
                <w:lang w:eastAsia="en-GB"/>
              </w:rPr>
              <w:t xml:space="preserve">and </w:t>
            </w:r>
            <w:r w:rsidR="00B8526D">
              <w:rPr>
                <w:sz w:val="22"/>
                <w:szCs w:val="22"/>
              </w:rPr>
              <w:t>n</w:t>
            </w:r>
            <w:r w:rsidR="00B014CA">
              <w:rPr>
                <w:sz w:val="22"/>
                <w:szCs w:val="22"/>
              </w:rPr>
              <w:t>o response to other TNFs within 12 weeks</w:t>
            </w:r>
          </w:p>
          <w:p w14:paraId="0C996A8A" w14:textId="77777777" w:rsidR="001D1703" w:rsidRPr="002753E5" w:rsidRDefault="001D1703" w:rsidP="001D1703">
            <w:pPr>
              <w:overflowPunct/>
              <w:autoSpaceDE/>
              <w:autoSpaceDN/>
              <w:adjustRightInd/>
              <w:contextualSpacing/>
              <w:textAlignment w:val="auto"/>
              <w:rPr>
                <w:sz w:val="22"/>
                <w:szCs w:val="22"/>
                <w:lang w:eastAsia="en-GB"/>
              </w:rPr>
            </w:pPr>
            <w:r w:rsidRPr="002753E5">
              <w:rPr>
                <w:color w:val="000000"/>
                <w:kern w:val="24"/>
                <w:sz w:val="22"/>
                <w:szCs w:val="22"/>
                <w:lang w:eastAsia="en-GB"/>
              </w:rPr>
              <w:t>AS</w:t>
            </w:r>
          </w:p>
          <w:p w14:paraId="6D128534" w14:textId="1E56EF05" w:rsidR="00604B75" w:rsidRPr="002753E5" w:rsidRDefault="00B014CA" w:rsidP="00604B75">
            <w:pPr>
              <w:overflowPunct/>
              <w:autoSpaceDE/>
              <w:autoSpaceDN/>
              <w:adjustRightInd/>
              <w:contextualSpacing/>
              <w:textAlignment w:val="auto"/>
              <w:rPr>
                <w:sz w:val="22"/>
                <w:szCs w:val="22"/>
                <w:lang w:eastAsia="en-GB"/>
              </w:rPr>
            </w:pPr>
            <w:r>
              <w:rPr>
                <w:color w:val="000000"/>
                <w:kern w:val="24"/>
                <w:sz w:val="22"/>
                <w:szCs w:val="22"/>
                <w:lang w:eastAsia="en-GB"/>
              </w:rPr>
              <w:t>nr</w:t>
            </w:r>
            <w:r w:rsidR="00604B75" w:rsidRPr="002753E5">
              <w:rPr>
                <w:color w:val="000000"/>
                <w:kern w:val="24"/>
                <w:sz w:val="22"/>
                <w:szCs w:val="22"/>
                <w:lang w:eastAsia="en-GB"/>
              </w:rPr>
              <w:t xml:space="preserve">Axial </w:t>
            </w:r>
            <w:r w:rsidR="00604B75">
              <w:rPr>
                <w:color w:val="000000"/>
                <w:kern w:val="24"/>
                <w:sz w:val="22"/>
                <w:szCs w:val="22"/>
                <w:lang w:eastAsia="en-GB"/>
              </w:rPr>
              <w:t xml:space="preserve">  </w:t>
            </w:r>
            <w:r w:rsidR="00604B75" w:rsidRPr="002753E5">
              <w:rPr>
                <w:color w:val="000000"/>
                <w:kern w:val="24"/>
                <w:sz w:val="22"/>
                <w:szCs w:val="22"/>
                <w:lang w:eastAsia="en-GB"/>
              </w:rPr>
              <w:t>spondyloarthritis</w:t>
            </w:r>
          </w:p>
          <w:p w14:paraId="06CA804D" w14:textId="5AF77942" w:rsidR="00332E72" w:rsidRPr="002753E5" w:rsidRDefault="00332E72" w:rsidP="001D1703">
            <w:pPr>
              <w:overflowPunct/>
              <w:autoSpaceDE/>
              <w:autoSpaceDN/>
              <w:adjustRightInd/>
              <w:contextualSpacing/>
              <w:textAlignment w:val="auto"/>
              <w:rPr>
                <w:color w:val="000000"/>
                <w:kern w:val="24"/>
                <w:sz w:val="22"/>
                <w:szCs w:val="22"/>
                <w:lang w:eastAsia="en-GB"/>
              </w:rPr>
            </w:pPr>
          </w:p>
        </w:tc>
        <w:tc>
          <w:tcPr>
            <w:tcW w:w="2079" w:type="dxa"/>
          </w:tcPr>
          <w:p w14:paraId="794C37E2" w14:textId="270FAB34" w:rsidR="001D1703" w:rsidRPr="002753E5" w:rsidRDefault="001D1703" w:rsidP="001D1703">
            <w:pPr>
              <w:overflowPunct/>
              <w:autoSpaceDE/>
              <w:autoSpaceDN/>
              <w:adjustRightInd/>
              <w:contextualSpacing/>
              <w:textAlignment w:val="auto"/>
              <w:rPr>
                <w:rFonts w:ascii="Arial" w:hAnsi="Arial" w:cs="Arial"/>
                <w:sz w:val="22"/>
                <w:szCs w:val="22"/>
                <w:lang w:eastAsia="en-GB"/>
              </w:rPr>
            </w:pPr>
            <w:r w:rsidRPr="002753E5">
              <w:rPr>
                <w:rFonts w:ascii="Constantia" w:hAnsi="Constantia" w:cs="Arial"/>
                <w:color w:val="000000"/>
                <w:kern w:val="24"/>
                <w:sz w:val="22"/>
                <w:szCs w:val="22"/>
                <w:lang w:eastAsia="en-GB"/>
              </w:rPr>
              <w:t>RA + MTX</w:t>
            </w:r>
            <w:r>
              <w:rPr>
                <w:rFonts w:ascii="Constantia" w:hAnsi="Constantia" w:cs="Arial"/>
                <w:color w:val="000000"/>
                <w:kern w:val="24"/>
                <w:sz w:val="22"/>
                <w:szCs w:val="22"/>
                <w:lang w:eastAsia="en-GB"/>
              </w:rPr>
              <w:t xml:space="preserve"> only</w:t>
            </w:r>
          </w:p>
          <w:p w14:paraId="7C08C7B1" w14:textId="77777777" w:rsidR="001D1703" w:rsidRPr="002753E5" w:rsidRDefault="001D1703" w:rsidP="001D1703">
            <w:pPr>
              <w:overflowPunct/>
              <w:autoSpaceDE/>
              <w:autoSpaceDN/>
              <w:adjustRightInd/>
              <w:contextualSpacing/>
              <w:textAlignment w:val="auto"/>
              <w:rPr>
                <w:rFonts w:ascii="Arial" w:hAnsi="Arial" w:cs="Arial"/>
                <w:sz w:val="22"/>
                <w:szCs w:val="22"/>
                <w:lang w:eastAsia="en-GB"/>
              </w:rPr>
            </w:pPr>
            <w:r w:rsidRPr="002753E5">
              <w:rPr>
                <w:rFonts w:ascii="Constantia" w:hAnsi="Constantia" w:cs="Arial"/>
                <w:color w:val="000000"/>
                <w:kern w:val="24"/>
                <w:sz w:val="22"/>
                <w:szCs w:val="22"/>
                <w:lang w:eastAsia="en-GB"/>
              </w:rPr>
              <w:t>PsA +/- MTX</w:t>
            </w:r>
          </w:p>
          <w:p w14:paraId="77E1D565" w14:textId="77777777" w:rsidR="001D1703" w:rsidRPr="002753E5" w:rsidRDefault="001D1703" w:rsidP="001D1703">
            <w:pPr>
              <w:overflowPunct/>
              <w:autoSpaceDE/>
              <w:autoSpaceDN/>
              <w:adjustRightInd/>
              <w:contextualSpacing/>
              <w:textAlignment w:val="auto"/>
              <w:rPr>
                <w:rFonts w:ascii="Arial" w:hAnsi="Arial" w:cs="Arial"/>
                <w:sz w:val="22"/>
                <w:szCs w:val="22"/>
                <w:lang w:eastAsia="en-GB"/>
              </w:rPr>
            </w:pPr>
            <w:r w:rsidRPr="002753E5">
              <w:rPr>
                <w:rFonts w:ascii="Constantia" w:hAnsi="Constantia" w:cs="Arial"/>
                <w:color w:val="000000"/>
                <w:kern w:val="24"/>
                <w:sz w:val="22"/>
                <w:szCs w:val="22"/>
                <w:lang w:eastAsia="en-GB"/>
              </w:rPr>
              <w:t>AS</w:t>
            </w:r>
          </w:p>
          <w:p w14:paraId="21A8B8CE" w14:textId="0512D68B" w:rsidR="00332E72" w:rsidRPr="00D67621" w:rsidRDefault="00332E72" w:rsidP="001D1703">
            <w:pPr>
              <w:overflowPunct/>
              <w:autoSpaceDE/>
              <w:autoSpaceDN/>
              <w:adjustRightInd/>
              <w:contextualSpacing/>
              <w:textAlignment w:val="auto"/>
              <w:rPr>
                <w:color w:val="000000"/>
                <w:kern w:val="24"/>
                <w:sz w:val="22"/>
                <w:szCs w:val="22"/>
                <w:lang w:eastAsia="en-GB"/>
              </w:rPr>
            </w:pPr>
          </w:p>
        </w:tc>
        <w:tc>
          <w:tcPr>
            <w:tcW w:w="1806" w:type="dxa"/>
          </w:tcPr>
          <w:p w14:paraId="7A7884BD" w14:textId="3DC029F4" w:rsidR="001D1703" w:rsidRPr="00D67621" w:rsidRDefault="001D1703" w:rsidP="001D1703">
            <w:pPr>
              <w:overflowPunct/>
              <w:autoSpaceDE/>
              <w:autoSpaceDN/>
              <w:adjustRightInd/>
              <w:contextualSpacing/>
              <w:textAlignment w:val="auto"/>
              <w:rPr>
                <w:sz w:val="22"/>
                <w:szCs w:val="22"/>
                <w:lang w:eastAsia="en-GB"/>
              </w:rPr>
            </w:pPr>
            <w:r w:rsidRPr="00D67621">
              <w:rPr>
                <w:color w:val="000000"/>
                <w:kern w:val="24"/>
                <w:sz w:val="22"/>
                <w:szCs w:val="22"/>
                <w:lang w:eastAsia="en-GB"/>
              </w:rPr>
              <w:t>RA+MTX</w:t>
            </w:r>
            <w:r>
              <w:rPr>
                <w:color w:val="000000"/>
                <w:kern w:val="24"/>
                <w:sz w:val="22"/>
                <w:szCs w:val="22"/>
                <w:lang w:eastAsia="en-GB"/>
              </w:rPr>
              <w:t xml:space="preserve"> only</w:t>
            </w:r>
          </w:p>
          <w:p w14:paraId="7C895159" w14:textId="77777777" w:rsidR="001D1703" w:rsidRPr="00D67621" w:rsidRDefault="001D1703" w:rsidP="001D1703">
            <w:pPr>
              <w:overflowPunct/>
              <w:autoSpaceDE/>
              <w:autoSpaceDN/>
              <w:adjustRightInd/>
              <w:contextualSpacing/>
              <w:textAlignment w:val="auto"/>
              <w:rPr>
                <w:sz w:val="22"/>
                <w:szCs w:val="22"/>
                <w:lang w:eastAsia="en-GB"/>
              </w:rPr>
            </w:pPr>
            <w:r w:rsidRPr="00D67621">
              <w:rPr>
                <w:color w:val="000000"/>
                <w:kern w:val="24"/>
                <w:sz w:val="22"/>
                <w:szCs w:val="22"/>
                <w:lang w:eastAsia="en-GB"/>
              </w:rPr>
              <w:t>PsA +/- MTX</w:t>
            </w:r>
          </w:p>
          <w:p w14:paraId="3B02CBED" w14:textId="77777777" w:rsidR="001D1703" w:rsidRPr="00D67621" w:rsidRDefault="001D1703" w:rsidP="001D1703">
            <w:pPr>
              <w:overflowPunct/>
              <w:autoSpaceDE/>
              <w:autoSpaceDN/>
              <w:adjustRightInd/>
              <w:contextualSpacing/>
              <w:textAlignment w:val="auto"/>
              <w:rPr>
                <w:sz w:val="22"/>
                <w:szCs w:val="22"/>
                <w:lang w:eastAsia="en-GB"/>
              </w:rPr>
            </w:pPr>
            <w:r w:rsidRPr="00D67621">
              <w:rPr>
                <w:color w:val="000000"/>
                <w:kern w:val="24"/>
                <w:sz w:val="22"/>
                <w:szCs w:val="22"/>
                <w:lang w:eastAsia="en-GB"/>
              </w:rPr>
              <w:t>AS</w:t>
            </w:r>
          </w:p>
          <w:p w14:paraId="60C67E77" w14:textId="4D309531" w:rsidR="00332E72" w:rsidRPr="00D67621" w:rsidRDefault="00332E72" w:rsidP="001D1703">
            <w:pPr>
              <w:overflowPunct/>
              <w:autoSpaceDE/>
              <w:autoSpaceDN/>
              <w:adjustRightInd/>
              <w:contextualSpacing/>
              <w:textAlignment w:val="auto"/>
              <w:rPr>
                <w:color w:val="000000"/>
                <w:kern w:val="24"/>
                <w:sz w:val="22"/>
                <w:szCs w:val="22"/>
                <w:lang w:eastAsia="en-GB"/>
              </w:rPr>
            </w:pPr>
          </w:p>
        </w:tc>
      </w:tr>
      <w:tr w:rsidR="00332E72" w:rsidRPr="002753E5" w14:paraId="50A6D18C" w14:textId="77777777" w:rsidTr="001D1703">
        <w:trPr>
          <w:cnfStyle w:val="000000100000" w:firstRow="0" w:lastRow="0" w:firstColumn="0" w:lastColumn="0" w:oddVBand="0" w:evenVBand="0" w:oddHBand="1" w:evenHBand="0" w:firstRowFirstColumn="0" w:firstRowLastColumn="0" w:lastRowFirstColumn="0" w:lastRowLastColumn="0"/>
          <w:trHeight w:val="1127"/>
        </w:trPr>
        <w:tc>
          <w:tcPr>
            <w:tcW w:w="1881" w:type="dxa"/>
          </w:tcPr>
          <w:p w14:paraId="0F53C477" w14:textId="66EFFFC4" w:rsidR="00332E72" w:rsidRDefault="00332E72" w:rsidP="0009433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NICE guidelines </w:t>
            </w:r>
          </w:p>
        </w:tc>
        <w:tc>
          <w:tcPr>
            <w:tcW w:w="1881" w:type="dxa"/>
          </w:tcPr>
          <w:p w14:paraId="77ECD682" w14:textId="2D905FE7" w:rsidR="001C116E" w:rsidRPr="001C116E" w:rsidRDefault="004132B1" w:rsidP="00094335">
            <w:pPr>
              <w:overflowPunct/>
              <w:autoSpaceDE/>
              <w:autoSpaceDN/>
              <w:adjustRightInd/>
              <w:contextualSpacing/>
              <w:textAlignment w:val="auto"/>
              <w:rPr>
                <w:color w:val="0000FF"/>
                <w:kern w:val="24"/>
                <w:sz w:val="22"/>
                <w:szCs w:val="22"/>
                <w:u w:val="single"/>
                <w:lang w:eastAsia="en-GB"/>
              </w:rPr>
            </w:pPr>
            <w:r>
              <w:rPr>
                <w:color w:val="000000"/>
                <w:kern w:val="24"/>
                <w:sz w:val="22"/>
                <w:szCs w:val="22"/>
                <w:lang w:eastAsia="en-GB"/>
              </w:rPr>
              <w:t xml:space="preserve">RA: </w:t>
            </w:r>
            <w:hyperlink r:id="rId16" w:history="1">
              <w:r w:rsidRPr="004132B1">
                <w:rPr>
                  <w:rStyle w:val="Hyperlink"/>
                  <w:kern w:val="24"/>
                  <w:sz w:val="22"/>
                  <w:szCs w:val="22"/>
                  <w:lang w:eastAsia="en-GB"/>
                </w:rPr>
                <w:t>TA375</w:t>
              </w:r>
            </w:hyperlink>
            <w:r w:rsidR="001C116E">
              <w:rPr>
                <w:rStyle w:val="Hyperlink"/>
                <w:kern w:val="24"/>
                <w:sz w:val="22"/>
                <w:szCs w:val="22"/>
                <w:lang w:eastAsia="en-GB"/>
              </w:rPr>
              <w:t xml:space="preserve">; </w:t>
            </w:r>
            <w:hyperlink r:id="rId17" w:history="1">
              <w:r w:rsidR="001C116E" w:rsidRPr="001C116E">
                <w:rPr>
                  <w:rStyle w:val="Hyperlink"/>
                  <w:kern w:val="24"/>
                  <w:sz w:val="22"/>
                  <w:szCs w:val="22"/>
                  <w:lang w:eastAsia="en-GB"/>
                </w:rPr>
                <w:t>TA195</w:t>
              </w:r>
            </w:hyperlink>
          </w:p>
          <w:p w14:paraId="73AF65D4" w14:textId="77777777" w:rsidR="00604B75" w:rsidRDefault="00604B75" w:rsidP="0009433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PsA: </w:t>
            </w:r>
            <w:hyperlink r:id="rId18" w:history="1">
              <w:r w:rsidRPr="00604B75">
                <w:rPr>
                  <w:rStyle w:val="Hyperlink"/>
                  <w:kern w:val="24"/>
                  <w:sz w:val="22"/>
                  <w:szCs w:val="22"/>
                  <w:lang w:eastAsia="en-GB"/>
                </w:rPr>
                <w:t>TA199</w:t>
              </w:r>
            </w:hyperlink>
          </w:p>
          <w:p w14:paraId="1BA4BFEE" w14:textId="10D11A04" w:rsidR="00604B75" w:rsidRPr="002753E5" w:rsidRDefault="00B014CA" w:rsidP="0009433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AS and nrAS: </w:t>
            </w:r>
            <w:hyperlink r:id="rId19" w:history="1">
              <w:r w:rsidRPr="00604B75">
                <w:rPr>
                  <w:rStyle w:val="Hyperlink"/>
                  <w:kern w:val="24"/>
                  <w:sz w:val="22"/>
                  <w:szCs w:val="22"/>
                  <w:lang w:eastAsia="en-GB"/>
                </w:rPr>
                <w:t>TA383</w:t>
              </w:r>
            </w:hyperlink>
          </w:p>
        </w:tc>
        <w:tc>
          <w:tcPr>
            <w:tcW w:w="2079" w:type="dxa"/>
          </w:tcPr>
          <w:p w14:paraId="5FABCF65" w14:textId="57220641" w:rsidR="00332E72" w:rsidRDefault="004132B1" w:rsidP="0009433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RA: </w:t>
            </w:r>
            <w:hyperlink r:id="rId20" w:history="1">
              <w:r w:rsidRPr="004132B1">
                <w:rPr>
                  <w:rStyle w:val="Hyperlink"/>
                  <w:kern w:val="24"/>
                  <w:sz w:val="22"/>
                  <w:szCs w:val="22"/>
                  <w:lang w:eastAsia="en-GB"/>
                </w:rPr>
                <w:t>TA375</w:t>
              </w:r>
            </w:hyperlink>
            <w:r w:rsidR="001C116E">
              <w:rPr>
                <w:rStyle w:val="Hyperlink"/>
                <w:kern w:val="24"/>
                <w:sz w:val="22"/>
                <w:szCs w:val="22"/>
                <w:lang w:eastAsia="en-GB"/>
              </w:rPr>
              <w:t xml:space="preserve">; </w:t>
            </w:r>
            <w:hyperlink r:id="rId21" w:history="1">
              <w:r w:rsidR="001C116E" w:rsidRPr="001C116E">
                <w:rPr>
                  <w:rStyle w:val="Hyperlink"/>
                  <w:kern w:val="24"/>
                  <w:sz w:val="22"/>
                  <w:szCs w:val="22"/>
                  <w:lang w:eastAsia="en-GB"/>
                </w:rPr>
                <w:t>TA195</w:t>
              </w:r>
            </w:hyperlink>
          </w:p>
          <w:p w14:paraId="2D02D3C1" w14:textId="77777777" w:rsidR="00604B75" w:rsidRDefault="00604B75" w:rsidP="0009433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PsA: </w:t>
            </w:r>
            <w:hyperlink r:id="rId22" w:history="1">
              <w:r w:rsidRPr="00604B75">
                <w:rPr>
                  <w:rStyle w:val="Hyperlink"/>
                  <w:kern w:val="24"/>
                  <w:sz w:val="22"/>
                  <w:szCs w:val="22"/>
                  <w:lang w:eastAsia="en-GB"/>
                </w:rPr>
                <w:t>TA199</w:t>
              </w:r>
            </w:hyperlink>
          </w:p>
          <w:p w14:paraId="1F57763F" w14:textId="77777777" w:rsidR="00604B75" w:rsidRDefault="00B014CA" w:rsidP="00094335">
            <w:pPr>
              <w:overflowPunct/>
              <w:autoSpaceDE/>
              <w:autoSpaceDN/>
              <w:adjustRightInd/>
              <w:contextualSpacing/>
              <w:textAlignment w:val="auto"/>
              <w:rPr>
                <w:rStyle w:val="Hyperlink"/>
                <w:kern w:val="24"/>
                <w:sz w:val="22"/>
                <w:szCs w:val="22"/>
                <w:lang w:eastAsia="en-GB"/>
              </w:rPr>
            </w:pPr>
            <w:r>
              <w:rPr>
                <w:color w:val="000000"/>
                <w:kern w:val="24"/>
                <w:sz w:val="22"/>
                <w:szCs w:val="22"/>
                <w:lang w:eastAsia="en-GB"/>
              </w:rPr>
              <w:t xml:space="preserve">AS and nrAS: </w:t>
            </w:r>
            <w:hyperlink r:id="rId23" w:history="1">
              <w:r w:rsidRPr="00604B75">
                <w:rPr>
                  <w:rStyle w:val="Hyperlink"/>
                  <w:kern w:val="24"/>
                  <w:sz w:val="22"/>
                  <w:szCs w:val="22"/>
                  <w:lang w:eastAsia="en-GB"/>
                </w:rPr>
                <w:t>TA383</w:t>
              </w:r>
            </w:hyperlink>
          </w:p>
          <w:p w14:paraId="1A63D7DE" w14:textId="462C0DBB" w:rsidR="000E420A" w:rsidRPr="002753E5" w:rsidRDefault="000E420A" w:rsidP="00094335">
            <w:pPr>
              <w:overflowPunct/>
              <w:autoSpaceDE/>
              <w:autoSpaceDN/>
              <w:adjustRightInd/>
              <w:contextualSpacing/>
              <w:textAlignment w:val="auto"/>
              <w:rPr>
                <w:color w:val="000000"/>
                <w:kern w:val="24"/>
                <w:sz w:val="22"/>
                <w:szCs w:val="22"/>
                <w:lang w:eastAsia="en-GB"/>
              </w:rPr>
            </w:pPr>
            <w:r w:rsidRPr="00884993">
              <w:rPr>
                <w:sz w:val="22"/>
                <w:szCs w:val="22"/>
              </w:rPr>
              <w:t>JIA</w:t>
            </w:r>
            <w:r>
              <w:rPr>
                <w:sz w:val="22"/>
                <w:szCs w:val="22"/>
              </w:rPr>
              <w:t>:</w:t>
            </w:r>
            <w:r w:rsidRPr="00884993">
              <w:rPr>
                <w:sz w:val="22"/>
                <w:szCs w:val="22"/>
              </w:rPr>
              <w:t xml:space="preserve"> </w:t>
            </w:r>
            <w:hyperlink r:id="rId24" w:history="1">
              <w:r w:rsidRPr="00586C73">
                <w:rPr>
                  <w:rStyle w:val="Hyperlink"/>
                  <w:sz w:val="22"/>
                  <w:szCs w:val="22"/>
                </w:rPr>
                <w:t>TA373</w:t>
              </w:r>
            </w:hyperlink>
          </w:p>
        </w:tc>
        <w:tc>
          <w:tcPr>
            <w:tcW w:w="2079" w:type="dxa"/>
          </w:tcPr>
          <w:p w14:paraId="1872B1EF" w14:textId="19A3CC19" w:rsidR="00604B75" w:rsidRDefault="00604B75" w:rsidP="00604B7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RA: </w:t>
            </w:r>
            <w:hyperlink r:id="rId25" w:history="1">
              <w:r w:rsidRPr="004132B1">
                <w:rPr>
                  <w:rStyle w:val="Hyperlink"/>
                  <w:kern w:val="24"/>
                  <w:sz w:val="22"/>
                  <w:szCs w:val="22"/>
                  <w:lang w:eastAsia="en-GB"/>
                </w:rPr>
                <w:t>TA375</w:t>
              </w:r>
            </w:hyperlink>
            <w:r w:rsidR="001C116E">
              <w:rPr>
                <w:rStyle w:val="Hyperlink"/>
                <w:kern w:val="24"/>
                <w:sz w:val="22"/>
                <w:szCs w:val="22"/>
                <w:lang w:eastAsia="en-GB"/>
              </w:rPr>
              <w:t xml:space="preserve">; </w:t>
            </w:r>
            <w:hyperlink r:id="rId26" w:history="1">
              <w:r w:rsidR="001C116E" w:rsidRPr="001C116E">
                <w:rPr>
                  <w:rStyle w:val="Hyperlink"/>
                  <w:kern w:val="24"/>
                  <w:sz w:val="22"/>
                  <w:szCs w:val="22"/>
                  <w:lang w:eastAsia="en-GB"/>
                </w:rPr>
                <w:t>TA415</w:t>
              </w:r>
            </w:hyperlink>
          </w:p>
          <w:p w14:paraId="6F664B67" w14:textId="77777777" w:rsidR="00332E72" w:rsidRDefault="00604B75" w:rsidP="00604B7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PsA: </w:t>
            </w:r>
            <w:hyperlink r:id="rId27" w:history="1">
              <w:r w:rsidRPr="00604B75">
                <w:rPr>
                  <w:rStyle w:val="Hyperlink"/>
                  <w:kern w:val="24"/>
                  <w:sz w:val="22"/>
                  <w:szCs w:val="22"/>
                  <w:lang w:eastAsia="en-GB"/>
                </w:rPr>
                <w:t>TA445</w:t>
              </w:r>
            </w:hyperlink>
          </w:p>
          <w:p w14:paraId="035D214A" w14:textId="6FA79F22" w:rsidR="00604B75" w:rsidRPr="002753E5" w:rsidRDefault="00604B75" w:rsidP="00604B7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AS</w:t>
            </w:r>
            <w:r w:rsidR="00B014CA">
              <w:rPr>
                <w:color w:val="000000"/>
                <w:kern w:val="24"/>
                <w:sz w:val="22"/>
                <w:szCs w:val="22"/>
                <w:lang w:eastAsia="en-GB"/>
              </w:rPr>
              <w:t xml:space="preserve"> and nrAS</w:t>
            </w:r>
            <w:r>
              <w:rPr>
                <w:color w:val="000000"/>
                <w:kern w:val="24"/>
                <w:sz w:val="22"/>
                <w:szCs w:val="22"/>
                <w:lang w:eastAsia="en-GB"/>
              </w:rPr>
              <w:t xml:space="preserve">: </w:t>
            </w:r>
            <w:hyperlink r:id="rId28" w:history="1">
              <w:r w:rsidRPr="00604B75">
                <w:rPr>
                  <w:rStyle w:val="Hyperlink"/>
                  <w:kern w:val="24"/>
                  <w:sz w:val="22"/>
                  <w:szCs w:val="22"/>
                  <w:lang w:eastAsia="en-GB"/>
                </w:rPr>
                <w:t>TA383</w:t>
              </w:r>
            </w:hyperlink>
          </w:p>
        </w:tc>
        <w:tc>
          <w:tcPr>
            <w:tcW w:w="2079" w:type="dxa"/>
          </w:tcPr>
          <w:p w14:paraId="34C1C40B" w14:textId="60F25A87" w:rsidR="00604B75" w:rsidRDefault="00604B75" w:rsidP="00604B7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RA: </w:t>
            </w:r>
            <w:hyperlink r:id="rId29" w:history="1">
              <w:r w:rsidRPr="004132B1">
                <w:rPr>
                  <w:rStyle w:val="Hyperlink"/>
                  <w:kern w:val="24"/>
                  <w:sz w:val="22"/>
                  <w:szCs w:val="22"/>
                  <w:lang w:eastAsia="en-GB"/>
                </w:rPr>
                <w:t>TA375</w:t>
              </w:r>
            </w:hyperlink>
            <w:r w:rsidR="001C116E">
              <w:rPr>
                <w:rStyle w:val="Hyperlink"/>
                <w:kern w:val="24"/>
                <w:sz w:val="22"/>
                <w:szCs w:val="22"/>
                <w:lang w:eastAsia="en-GB"/>
              </w:rPr>
              <w:t xml:space="preserve">; </w:t>
            </w:r>
            <w:hyperlink r:id="rId30" w:history="1">
              <w:r w:rsidR="001C116E" w:rsidRPr="001C116E">
                <w:rPr>
                  <w:rStyle w:val="Hyperlink"/>
                  <w:kern w:val="24"/>
                  <w:sz w:val="22"/>
                  <w:szCs w:val="22"/>
                  <w:lang w:eastAsia="en-GB"/>
                </w:rPr>
                <w:t>TA225</w:t>
              </w:r>
            </w:hyperlink>
          </w:p>
          <w:p w14:paraId="50BF5822" w14:textId="77777777" w:rsidR="00332E72" w:rsidRDefault="00604B75" w:rsidP="00604B7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PsA: </w:t>
            </w:r>
            <w:hyperlink r:id="rId31" w:history="1">
              <w:r>
                <w:rPr>
                  <w:rStyle w:val="Hyperlink"/>
                  <w:kern w:val="24"/>
                  <w:sz w:val="22"/>
                  <w:szCs w:val="22"/>
                  <w:lang w:eastAsia="en-GB"/>
                </w:rPr>
                <w:t>TA220</w:t>
              </w:r>
            </w:hyperlink>
          </w:p>
          <w:p w14:paraId="22140CFF" w14:textId="77777777" w:rsidR="00604B75" w:rsidRDefault="00604B75" w:rsidP="00604B7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AS: </w:t>
            </w:r>
            <w:hyperlink r:id="rId32" w:history="1">
              <w:r w:rsidRPr="00604B75">
                <w:rPr>
                  <w:rStyle w:val="Hyperlink"/>
                  <w:kern w:val="24"/>
                  <w:sz w:val="22"/>
                  <w:szCs w:val="22"/>
                  <w:lang w:eastAsia="en-GB"/>
                </w:rPr>
                <w:t>TA383</w:t>
              </w:r>
            </w:hyperlink>
          </w:p>
          <w:p w14:paraId="26D2CBDB" w14:textId="296BD06D" w:rsidR="00B014CA" w:rsidRPr="00D67621" w:rsidRDefault="00B014CA" w:rsidP="00604B7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nrAS: </w:t>
            </w:r>
            <w:hyperlink r:id="rId33" w:history="1">
              <w:r w:rsidRPr="00B014CA">
                <w:rPr>
                  <w:rStyle w:val="Hyperlink"/>
                  <w:kern w:val="24"/>
                  <w:sz w:val="22"/>
                  <w:szCs w:val="22"/>
                  <w:lang w:eastAsia="en-GB"/>
                </w:rPr>
                <w:t>TA497</w:t>
              </w:r>
            </w:hyperlink>
          </w:p>
        </w:tc>
        <w:tc>
          <w:tcPr>
            <w:tcW w:w="1806" w:type="dxa"/>
          </w:tcPr>
          <w:p w14:paraId="138A0F6E" w14:textId="3775EF60" w:rsidR="00604B75" w:rsidRDefault="00604B75" w:rsidP="00604B7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RA: </w:t>
            </w:r>
            <w:hyperlink r:id="rId34" w:history="1">
              <w:r w:rsidRPr="004132B1">
                <w:rPr>
                  <w:rStyle w:val="Hyperlink"/>
                  <w:kern w:val="24"/>
                  <w:sz w:val="22"/>
                  <w:szCs w:val="22"/>
                  <w:lang w:eastAsia="en-GB"/>
                </w:rPr>
                <w:t>TA375</w:t>
              </w:r>
            </w:hyperlink>
            <w:r w:rsidR="001C116E">
              <w:rPr>
                <w:rStyle w:val="Hyperlink"/>
                <w:kern w:val="24"/>
                <w:sz w:val="22"/>
                <w:szCs w:val="22"/>
                <w:lang w:eastAsia="en-GB"/>
              </w:rPr>
              <w:t xml:space="preserve">; </w:t>
            </w:r>
            <w:hyperlink r:id="rId35" w:history="1">
              <w:r w:rsidR="001C116E" w:rsidRPr="001C116E">
                <w:rPr>
                  <w:rStyle w:val="Hyperlink"/>
                  <w:kern w:val="24"/>
                  <w:sz w:val="22"/>
                  <w:szCs w:val="22"/>
                  <w:lang w:eastAsia="en-GB"/>
                </w:rPr>
                <w:t>TA195</w:t>
              </w:r>
            </w:hyperlink>
          </w:p>
          <w:p w14:paraId="1A36877D" w14:textId="77777777" w:rsidR="00332E72" w:rsidRDefault="00604B75" w:rsidP="00604B7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PsA: </w:t>
            </w:r>
            <w:hyperlink r:id="rId36" w:history="1">
              <w:r w:rsidRPr="00604B75">
                <w:rPr>
                  <w:rStyle w:val="Hyperlink"/>
                  <w:kern w:val="24"/>
                  <w:sz w:val="22"/>
                  <w:szCs w:val="22"/>
                  <w:lang w:eastAsia="en-GB"/>
                </w:rPr>
                <w:t>TA199</w:t>
              </w:r>
            </w:hyperlink>
          </w:p>
          <w:p w14:paraId="7FE35E55" w14:textId="039DCE38" w:rsidR="00604B75" w:rsidRPr="00D67621" w:rsidRDefault="00604B75" w:rsidP="00604B75">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AS: </w:t>
            </w:r>
            <w:hyperlink r:id="rId37" w:history="1">
              <w:r w:rsidRPr="00604B75">
                <w:rPr>
                  <w:rStyle w:val="Hyperlink"/>
                  <w:kern w:val="24"/>
                  <w:sz w:val="22"/>
                  <w:szCs w:val="22"/>
                  <w:lang w:eastAsia="en-GB"/>
                </w:rPr>
                <w:t>TA383</w:t>
              </w:r>
            </w:hyperlink>
          </w:p>
        </w:tc>
      </w:tr>
    </w:tbl>
    <w:p w14:paraId="7C16D561" w14:textId="77777777" w:rsidR="00B139C2" w:rsidRDefault="00B139C2" w:rsidP="00B139C2"/>
    <w:p w14:paraId="407056EC" w14:textId="77777777" w:rsidR="00C63F80" w:rsidRDefault="00C63F80" w:rsidP="00B139C2">
      <w:pPr>
        <w:sectPr w:rsidR="00C63F80" w:rsidSect="00C63F80">
          <w:pgSz w:w="16838" w:h="11906" w:orient="landscape"/>
          <w:pgMar w:top="1440" w:right="1440" w:bottom="1440" w:left="1440" w:header="708" w:footer="708" w:gutter="0"/>
          <w:cols w:space="708"/>
          <w:docGrid w:linePitch="360"/>
        </w:sectPr>
      </w:pPr>
    </w:p>
    <w:p w14:paraId="13B64167" w14:textId="422A4869" w:rsidR="00C63F80" w:rsidRDefault="00C63F80">
      <w:pPr>
        <w:overflowPunct/>
        <w:autoSpaceDE/>
        <w:autoSpaceDN/>
        <w:adjustRightInd/>
        <w:spacing w:after="160" w:line="259" w:lineRule="auto"/>
        <w:textAlignment w:val="auto"/>
        <w:rPr>
          <w:b/>
        </w:rPr>
      </w:pPr>
    </w:p>
    <w:p w14:paraId="3FDC14A0" w14:textId="267FE664" w:rsidR="00B139C2" w:rsidRPr="009116BE" w:rsidRDefault="00B139C2" w:rsidP="00884993">
      <w:pPr>
        <w:spacing w:line="360" w:lineRule="auto"/>
        <w:rPr>
          <w:b/>
        </w:rPr>
      </w:pPr>
      <w:r w:rsidRPr="009116BE">
        <w:rPr>
          <w:b/>
        </w:rPr>
        <w:t>Non-TNFi licensed biologic DMARDs:</w:t>
      </w:r>
    </w:p>
    <w:p w14:paraId="791022AD" w14:textId="77777777" w:rsidR="00B139C2" w:rsidRPr="00D542BE" w:rsidRDefault="00B139C2" w:rsidP="00884993">
      <w:pPr>
        <w:pStyle w:val="NormalWeb"/>
        <w:spacing w:before="53" w:beforeAutospacing="0" w:after="0" w:line="360" w:lineRule="auto"/>
      </w:pPr>
      <w:r w:rsidRPr="00C154C8">
        <w:t>Abatacept is a fusion protein which moderates T lymphocyte-dependent antibody responses and inflammation. It is licensed in combination with methotrexate for the treatment of moderate to severe active rheumatoid arthritis</w:t>
      </w:r>
      <w:r>
        <w:t xml:space="preserve">. NICE supports its use as a first line bDMARD or following sDMARD failure, in the management of RA (TA234). It may also be used in patients who have failed a first line biologic (TA195) and have a primary contra-indication or adverse reaction to rituximab (TA195). </w:t>
      </w:r>
    </w:p>
    <w:p w14:paraId="7B0F3DE8" w14:textId="77777777" w:rsidR="00B139C2" w:rsidRDefault="00B139C2" w:rsidP="00884993">
      <w:pPr>
        <w:spacing w:line="360" w:lineRule="auto"/>
      </w:pPr>
      <w:r>
        <w:rPr>
          <w:szCs w:val="24"/>
        </w:rPr>
        <w:t xml:space="preserve"> </w:t>
      </w:r>
    </w:p>
    <w:p w14:paraId="12C6DF40" w14:textId="51550CB4" w:rsidR="00B139C2" w:rsidRPr="00C154C8" w:rsidRDefault="00B139C2" w:rsidP="00884993">
      <w:pPr>
        <w:spacing w:line="360" w:lineRule="auto"/>
        <w:rPr>
          <w:szCs w:val="24"/>
        </w:rPr>
      </w:pPr>
      <w:r w:rsidRPr="00C154C8">
        <w:rPr>
          <w:szCs w:val="24"/>
        </w:rPr>
        <w:t xml:space="preserve">Belimumab is the first licensed biologic for the management of SLE. It is a human, IgG1λ monoclonal antibody and blocks </w:t>
      </w:r>
      <w:r>
        <w:rPr>
          <w:szCs w:val="24"/>
        </w:rPr>
        <w:t xml:space="preserve">the </w:t>
      </w:r>
      <w:r w:rsidRPr="00C154C8">
        <w:rPr>
          <w:szCs w:val="24"/>
        </w:rPr>
        <w:t>action of BLyS (B Lymphocyte Stimulator Protein).</w:t>
      </w:r>
      <w:r>
        <w:rPr>
          <w:szCs w:val="24"/>
        </w:rPr>
        <w:t xml:space="preserve"> </w:t>
      </w:r>
      <w:r w:rsidRPr="00C154C8">
        <w:rPr>
          <w:szCs w:val="24"/>
        </w:rPr>
        <w:t>It is indicated as a</w:t>
      </w:r>
      <w:r>
        <w:rPr>
          <w:szCs w:val="24"/>
        </w:rPr>
        <w:t>n</w:t>
      </w:r>
      <w:r w:rsidRPr="00C154C8">
        <w:rPr>
          <w:szCs w:val="24"/>
        </w:rPr>
        <w:t xml:space="preserve"> add</w:t>
      </w:r>
      <w:r>
        <w:rPr>
          <w:szCs w:val="24"/>
        </w:rPr>
        <w:t>itional</w:t>
      </w:r>
      <w:r w:rsidRPr="00C154C8">
        <w:rPr>
          <w:szCs w:val="24"/>
        </w:rPr>
        <w:t xml:space="preserve"> therapy in adult patients with active, autoantibody positive SLE with a high degree of disease activity despite standard therapy. It has not been studied in severe active CNS lupus or severe active lupus nephritis and is not recommended for these conditions. Its use is currently not supported by NICE and applications for individual funding should be made to the NHS Commissioning Board.</w:t>
      </w:r>
      <w:r w:rsidR="00AE1B65">
        <w:rPr>
          <w:szCs w:val="24"/>
        </w:rPr>
        <w:t xml:space="preserve"> It is general used in a tertiary or approved centre. </w:t>
      </w:r>
    </w:p>
    <w:p w14:paraId="726F585D" w14:textId="77777777" w:rsidR="00B139C2" w:rsidRDefault="00B139C2" w:rsidP="00884993">
      <w:pPr>
        <w:spacing w:line="360" w:lineRule="auto"/>
      </w:pPr>
    </w:p>
    <w:p w14:paraId="349DD7E1" w14:textId="526E972D" w:rsidR="00B139C2" w:rsidRDefault="00B139C2" w:rsidP="00884993">
      <w:pPr>
        <w:spacing w:line="360" w:lineRule="auto"/>
        <w:rPr>
          <w:rFonts w:cs="Arial"/>
        </w:rPr>
      </w:pPr>
      <w:r w:rsidRPr="005061E4">
        <w:rPr>
          <w:rFonts w:cs="Arial"/>
        </w:rPr>
        <w:t xml:space="preserve">Tocilizumab (RoActemra) is </w:t>
      </w:r>
      <w:r w:rsidR="00AE1B65">
        <w:rPr>
          <w:rFonts w:cs="Arial"/>
        </w:rPr>
        <w:t xml:space="preserve">an </w:t>
      </w:r>
      <w:r w:rsidRPr="005061E4">
        <w:rPr>
          <w:rFonts w:cs="Arial"/>
        </w:rPr>
        <w:t xml:space="preserve"> IL-6</w:t>
      </w:r>
      <w:r>
        <w:rPr>
          <w:rFonts w:cs="Arial"/>
        </w:rPr>
        <w:t xml:space="preserve"> directed bDMARD</w:t>
      </w:r>
      <w:r w:rsidRPr="005061E4">
        <w:rPr>
          <w:rFonts w:cs="Arial"/>
        </w:rPr>
        <w:t xml:space="preserve"> (acting as </w:t>
      </w:r>
      <w:r>
        <w:rPr>
          <w:rFonts w:cs="Arial"/>
        </w:rPr>
        <w:t xml:space="preserve">an </w:t>
      </w:r>
      <w:r w:rsidRPr="005061E4">
        <w:rPr>
          <w:rFonts w:cs="Arial"/>
        </w:rPr>
        <w:t>IL 6 receptor antagonist) to licensed for the management of moderate to severe rheumatoid arthritis</w:t>
      </w:r>
      <w:r>
        <w:rPr>
          <w:rFonts w:cs="Arial"/>
        </w:rPr>
        <w:t>,</w:t>
      </w:r>
      <w:r w:rsidRPr="005061E4">
        <w:rPr>
          <w:rFonts w:cs="Arial"/>
        </w:rPr>
        <w:t xml:space="preserve"> with or without methotrexate</w:t>
      </w:r>
      <w:r>
        <w:rPr>
          <w:rFonts w:cs="Arial"/>
        </w:rPr>
        <w:t>.</w:t>
      </w:r>
      <w:r w:rsidRPr="005061E4">
        <w:rPr>
          <w:rFonts w:ascii="Arial" w:hAnsi="Arial" w:cs="Arial"/>
        </w:rPr>
        <w:t xml:space="preserve"> </w:t>
      </w:r>
      <w:r w:rsidRPr="000777E3">
        <w:rPr>
          <w:rFonts w:cs="Arial"/>
        </w:rPr>
        <w:t>Interleukin-6 (IL-6) is a multifunction</w:t>
      </w:r>
      <w:r>
        <w:rPr>
          <w:rFonts w:cs="Arial"/>
        </w:rPr>
        <w:t>al</w:t>
      </w:r>
      <w:r w:rsidRPr="000777E3">
        <w:rPr>
          <w:rFonts w:cs="Arial"/>
        </w:rPr>
        <w:t xml:space="preserve"> cytokine that has a wide range of biological activities in various target cells and regulates immune responses, acute phase reactions, haematopoiesis and bone metabolism. </w:t>
      </w:r>
      <w:r>
        <w:rPr>
          <w:rFonts w:cs="Arial"/>
        </w:rPr>
        <w:t>NICE supports its use as a first line bDMARD following sDMARD f</w:t>
      </w:r>
      <w:r w:rsidR="004E1CE6">
        <w:rPr>
          <w:rFonts w:cs="Arial"/>
        </w:rPr>
        <w:t xml:space="preserve">ailure in the management of RA. </w:t>
      </w:r>
      <w:r>
        <w:rPr>
          <w:rFonts w:cs="Arial"/>
        </w:rPr>
        <w:t>It may also be used in patients who have failed a first line bDMARD or primary contra-indication or adver</w:t>
      </w:r>
      <w:r w:rsidR="004E1CE6">
        <w:rPr>
          <w:rFonts w:cs="Arial"/>
        </w:rPr>
        <w:t>se reaction to rituximab</w:t>
      </w:r>
      <w:r>
        <w:rPr>
          <w:rFonts w:cs="Arial"/>
        </w:rPr>
        <w:t xml:space="preserve">. NICE also supports use following treatment failure with rituximab. </w:t>
      </w:r>
      <w:r w:rsidRPr="000777E3">
        <w:rPr>
          <w:rFonts w:cs="Arial"/>
        </w:rPr>
        <w:t>EULAR guidance recognises</w:t>
      </w:r>
      <w:r>
        <w:rPr>
          <w:rFonts w:cs="Arial"/>
        </w:rPr>
        <w:t xml:space="preserve"> that there may be a proportion of patients who are unable to tolerate methotrexate and are likely to gain clinical benefit from tocilizumab monotherapy (Smolen et al. Ann Rheum Dis 2013).</w:t>
      </w:r>
    </w:p>
    <w:p w14:paraId="0B4B347F" w14:textId="53F91763" w:rsidR="00EB43B1" w:rsidRDefault="00EB43B1" w:rsidP="00884993">
      <w:pPr>
        <w:spacing w:line="360" w:lineRule="auto"/>
        <w:rPr>
          <w:rFonts w:cs="Arial"/>
        </w:rPr>
      </w:pPr>
    </w:p>
    <w:p w14:paraId="44A5A37E" w14:textId="18C7CE56" w:rsidR="00EB43B1" w:rsidRPr="005F3602" w:rsidRDefault="00AE1B65" w:rsidP="00EB43B1">
      <w:pPr>
        <w:spacing w:line="360" w:lineRule="auto"/>
      </w:pPr>
      <w:r>
        <w:t>Tocilizumab</w:t>
      </w:r>
      <w:r w:rsidR="00EB43B1" w:rsidRPr="005F3602">
        <w:t xml:space="preserve"> is </w:t>
      </w:r>
      <w:r w:rsidR="00EB43B1">
        <w:t xml:space="preserve">most commonly </w:t>
      </w:r>
      <w:r w:rsidR="00EB43B1" w:rsidRPr="005F3602">
        <w:t xml:space="preserve">associated with </w:t>
      </w:r>
      <w:r>
        <w:t xml:space="preserve">a fall in the white cell count, </w:t>
      </w:r>
      <w:r w:rsidR="00EB43B1" w:rsidRPr="005F3602">
        <w:t xml:space="preserve">neutrophil count and </w:t>
      </w:r>
      <w:r w:rsidR="00EB43B1">
        <w:t xml:space="preserve">occasionally </w:t>
      </w:r>
      <w:r w:rsidR="00EB43B1" w:rsidRPr="005F3602">
        <w:t>platelets. It also commonly affects liver function tests</w:t>
      </w:r>
      <w:r w:rsidR="00EB43B1">
        <w:t xml:space="preserve"> (raised transaminases)</w:t>
      </w:r>
      <w:r w:rsidR="00EB43B1" w:rsidRPr="005F3602">
        <w:t xml:space="preserve">. </w:t>
      </w:r>
      <w:r w:rsidR="00EB43B1" w:rsidRPr="005F3602">
        <w:rPr>
          <w:color w:val="000000"/>
          <w:lang w:eastAsia="en-GB"/>
        </w:rPr>
        <w:t xml:space="preserve">Elevated lipid levels including total cholesterol, low-density lipoprotein </w:t>
      </w:r>
      <w:r w:rsidR="00EB43B1" w:rsidRPr="005F3602">
        <w:rPr>
          <w:color w:val="000000"/>
          <w:lang w:eastAsia="en-GB"/>
        </w:rPr>
        <w:lastRenderedPageBreak/>
        <w:t>(LDL), high-density lipoprotein (HDL) and triglycerid</w:t>
      </w:r>
      <w:r w:rsidR="00EB43B1">
        <w:rPr>
          <w:color w:val="000000"/>
          <w:lang w:eastAsia="en-GB"/>
        </w:rPr>
        <w:t>es have been reported with all bDMARDs, but especially tocilizumab. However no impact on CVS outcome has been proven</w:t>
      </w:r>
      <w:r w:rsidR="00EB43B1" w:rsidRPr="005F3602">
        <w:rPr>
          <w:color w:val="000000"/>
          <w:lang w:eastAsia="en-GB"/>
        </w:rPr>
        <w:t xml:space="preserve">. Full blood counts, liver function tests and lipid parameters should be monitored. IL-6 has been associated with suppression of the CP450 hepatic system </w:t>
      </w:r>
      <w:r>
        <w:rPr>
          <w:color w:val="000000"/>
          <w:lang w:eastAsia="en-GB"/>
        </w:rPr>
        <w:t>it</w:t>
      </w:r>
      <w:r w:rsidR="00EB43B1" w:rsidRPr="005F3602">
        <w:rPr>
          <w:color w:val="000000"/>
          <w:lang w:eastAsia="en-GB"/>
        </w:rPr>
        <w:t xml:space="preserve"> has been associated with an increase in metabolism of the following medicines: </w:t>
      </w:r>
      <w:r w:rsidR="00EB43B1" w:rsidRPr="005F3602">
        <w:t>statin</w:t>
      </w:r>
      <w:r w:rsidR="00EB43B1">
        <w:t>s</w:t>
      </w:r>
      <w:r w:rsidR="00EB43B1" w:rsidRPr="005F3602">
        <w:t>, calcium channel blockers, theophylline, warfarin, phenytoin, cyclosporine, and benzodiazepines. The doses of these medicines may require adjustment in patients receiving tocilizumab.</w:t>
      </w:r>
    </w:p>
    <w:p w14:paraId="217DEFB1" w14:textId="77777777" w:rsidR="00EB43B1" w:rsidRDefault="00EB43B1" w:rsidP="00EB43B1">
      <w:pPr>
        <w:spacing w:line="360" w:lineRule="auto"/>
        <w:rPr>
          <w:rFonts w:ascii="Arial" w:hAnsi="Arial" w:cs="Arial"/>
        </w:rPr>
      </w:pPr>
    </w:p>
    <w:p w14:paraId="776127BF" w14:textId="002D3E88" w:rsidR="00EB43B1" w:rsidRDefault="00EB43B1" w:rsidP="00EB43B1">
      <w:pPr>
        <w:spacing w:line="360" w:lineRule="auto"/>
        <w:rPr>
          <w:color w:val="000000"/>
          <w:szCs w:val="24"/>
          <w:lang w:eastAsia="en-GB"/>
        </w:rPr>
      </w:pPr>
      <w:r w:rsidRPr="00524F06">
        <w:t>Rituximab is licensed for the treatment of</w:t>
      </w:r>
      <w:r>
        <w:t xml:space="preserve"> </w:t>
      </w:r>
      <w:r w:rsidRPr="00524F06">
        <w:rPr>
          <w:color w:val="000000"/>
          <w:szCs w:val="24"/>
          <w:lang w:eastAsia="en-GB"/>
        </w:rPr>
        <w:t>severe active</w:t>
      </w:r>
      <w:r>
        <w:rPr>
          <w:color w:val="000000"/>
          <w:szCs w:val="24"/>
          <w:lang w:eastAsia="en-GB"/>
        </w:rPr>
        <w:t xml:space="preserve"> RA</w:t>
      </w:r>
      <w:r w:rsidRPr="00524F06">
        <w:t xml:space="preserve">, </w:t>
      </w:r>
      <w:r w:rsidRPr="00524F06">
        <w:rPr>
          <w:color w:val="000000"/>
          <w:szCs w:val="24"/>
          <w:lang w:eastAsia="en-GB"/>
        </w:rPr>
        <w:t>in combination with methotrexate,</w:t>
      </w:r>
      <w:r>
        <w:rPr>
          <w:color w:val="000000"/>
          <w:szCs w:val="24"/>
          <w:lang w:eastAsia="en-GB"/>
        </w:rPr>
        <w:t xml:space="preserve"> in patients</w:t>
      </w:r>
      <w:r w:rsidRPr="00524F06">
        <w:rPr>
          <w:color w:val="000000"/>
          <w:szCs w:val="24"/>
          <w:lang w:eastAsia="en-GB"/>
        </w:rPr>
        <w:t xml:space="preserve"> who have had an inadequate response </w:t>
      </w:r>
      <w:r>
        <w:rPr>
          <w:color w:val="000000"/>
          <w:szCs w:val="24"/>
          <w:lang w:eastAsia="en-GB"/>
        </w:rPr>
        <w:t>or intolerance to other DMARDs,</w:t>
      </w:r>
      <w:r w:rsidRPr="00524F06">
        <w:rPr>
          <w:color w:val="000000"/>
          <w:szCs w:val="24"/>
          <w:lang w:eastAsia="en-GB"/>
        </w:rPr>
        <w:t xml:space="preserve"> including one or more tumour necrosis factor (TNF) inhibitor therapies.</w:t>
      </w:r>
      <w:r>
        <w:rPr>
          <w:color w:val="000000"/>
          <w:szCs w:val="24"/>
          <w:lang w:eastAsia="en-GB"/>
        </w:rPr>
        <w:t xml:space="preserve">  NICE approves it use in RA, in combination with methotrexate, where there has been treatment failure or an adverse drug reaction to the first biologic agent used.  At present NICE does not recognise sero-negativive RA as a relative contra-indication to treatment with rituximab. </w:t>
      </w:r>
      <w:r>
        <w:t xml:space="preserve">Some centres are </w:t>
      </w:r>
      <w:r w:rsidR="00AE1B65">
        <w:t>use</w:t>
      </w:r>
      <w:r>
        <w:t xml:space="preserve"> a reduced dosage regime for rituximab (outside of the product license) following the first cycle, where there has been both an adequate clinical response and B cell depletion.  Please refer to individual hospital formulary dosage recommendations for rituximab in RA. Rituximab is also used in the management of a number of connective tissue diseases (CTD) and now</w:t>
      </w:r>
      <w:r w:rsidRPr="00524F06">
        <w:rPr>
          <w:color w:val="000000"/>
          <w:szCs w:val="24"/>
          <w:lang w:eastAsia="en-GB"/>
        </w:rPr>
        <w:t xml:space="preserve"> holds a license for the management of severe, active Granulomatos</w:t>
      </w:r>
      <w:r>
        <w:rPr>
          <w:color w:val="000000"/>
          <w:szCs w:val="24"/>
          <w:lang w:eastAsia="en-GB"/>
        </w:rPr>
        <w:t>is with Polyangiitis (GPA) and Microscopic P</w:t>
      </w:r>
      <w:r w:rsidRPr="00524F06">
        <w:rPr>
          <w:color w:val="000000"/>
          <w:szCs w:val="24"/>
          <w:lang w:eastAsia="en-GB"/>
        </w:rPr>
        <w:t>olyangiitis (MPA) in combination with steroids.</w:t>
      </w:r>
      <w:r>
        <w:rPr>
          <w:color w:val="000000"/>
          <w:szCs w:val="24"/>
          <w:lang w:eastAsia="en-GB"/>
        </w:rPr>
        <w:t xml:space="preserve"> Please refer to local hospital guidance with regards to permitted use in CTD. Some centres are using Rituximab in the same dosing schedule in CTD’s as for RA and vasculitis (2 one gram infusions 2 weeks apart), while others use the standard haematological protocol of 4 infusions.</w:t>
      </w:r>
    </w:p>
    <w:p w14:paraId="653ED168" w14:textId="77777777" w:rsidR="00EB43B1" w:rsidRDefault="00EB43B1" w:rsidP="00EB43B1">
      <w:pPr>
        <w:rPr>
          <w:color w:val="000000"/>
          <w:szCs w:val="24"/>
          <w:lang w:eastAsia="en-GB"/>
        </w:rPr>
      </w:pPr>
    </w:p>
    <w:p w14:paraId="35F468E9" w14:textId="3552FA24" w:rsidR="00B8526D" w:rsidRDefault="00B8526D">
      <w:pPr>
        <w:overflowPunct/>
        <w:autoSpaceDE/>
        <w:autoSpaceDN/>
        <w:adjustRightInd/>
        <w:spacing w:after="160" w:line="259" w:lineRule="auto"/>
        <w:textAlignment w:val="auto"/>
        <w:rPr>
          <w:color w:val="000000"/>
          <w:szCs w:val="24"/>
          <w:lang w:eastAsia="en-GB"/>
        </w:rPr>
      </w:pPr>
      <w:r>
        <w:rPr>
          <w:color w:val="000000"/>
          <w:szCs w:val="24"/>
          <w:lang w:eastAsia="en-GB"/>
        </w:rPr>
        <w:br w:type="page"/>
      </w:r>
    </w:p>
    <w:p w14:paraId="023FB255" w14:textId="77777777" w:rsidR="003178DF" w:rsidRDefault="003178DF" w:rsidP="00EB43B1">
      <w:pPr>
        <w:rPr>
          <w:color w:val="000000"/>
          <w:szCs w:val="24"/>
          <w:lang w:eastAsia="en-GB"/>
        </w:rPr>
        <w:sectPr w:rsidR="003178DF" w:rsidSect="00C63F80">
          <w:pgSz w:w="11906" w:h="16838"/>
          <w:pgMar w:top="1440" w:right="1440" w:bottom="1440" w:left="1440" w:header="708" w:footer="708" w:gutter="0"/>
          <w:cols w:space="708"/>
          <w:docGrid w:linePitch="360"/>
        </w:sectPr>
      </w:pPr>
    </w:p>
    <w:p w14:paraId="4B53060D" w14:textId="605A4616" w:rsidR="00EB43B1" w:rsidRDefault="00EB43B1" w:rsidP="00EB43B1">
      <w:pPr>
        <w:rPr>
          <w:color w:val="000000"/>
          <w:szCs w:val="24"/>
          <w:lang w:eastAsia="en-GB"/>
        </w:rPr>
      </w:pPr>
    </w:p>
    <w:p w14:paraId="5D961ED7" w14:textId="77777777" w:rsidR="00B8526D" w:rsidRPr="00AE1B65" w:rsidRDefault="00B8526D" w:rsidP="00B8526D">
      <w:pPr>
        <w:pStyle w:val="Heading2"/>
      </w:pPr>
      <w:bookmarkStart w:id="17" w:name="_Ref530209250"/>
      <w:bookmarkStart w:id="18" w:name="_Toc531873930"/>
      <w:r w:rsidRPr="00AE1B65">
        <w:t xml:space="preserve">Table </w:t>
      </w:r>
      <w:fldSimple w:instr=" SEQ Table \* ARABIC ">
        <w:r w:rsidRPr="00AE1B65">
          <w:rPr>
            <w:noProof/>
          </w:rPr>
          <w:t>2</w:t>
        </w:r>
      </w:fldSimple>
      <w:bookmarkEnd w:id="17"/>
      <w:r w:rsidRPr="00AE1B65">
        <w:t xml:space="preserve"> Non-TNF biologic medicines</w:t>
      </w:r>
      <w:bookmarkEnd w:id="18"/>
    </w:p>
    <w:tbl>
      <w:tblPr>
        <w:tblStyle w:val="TableGrid"/>
        <w:tblW w:w="15399" w:type="dxa"/>
        <w:tblLayout w:type="fixed"/>
        <w:tblLook w:val="0420" w:firstRow="1" w:lastRow="0" w:firstColumn="0" w:lastColumn="0" w:noHBand="0" w:noVBand="1"/>
      </w:tblPr>
      <w:tblGrid>
        <w:gridCol w:w="1271"/>
        <w:gridCol w:w="1559"/>
        <w:gridCol w:w="1701"/>
        <w:gridCol w:w="1560"/>
        <w:gridCol w:w="1653"/>
        <w:gridCol w:w="2126"/>
        <w:gridCol w:w="1843"/>
        <w:gridCol w:w="1436"/>
        <w:gridCol w:w="2250"/>
      </w:tblGrid>
      <w:tr w:rsidR="00B8526D" w:rsidRPr="001F5A16" w14:paraId="269E2EB3" w14:textId="77777777" w:rsidTr="00D56B63">
        <w:trPr>
          <w:trHeight w:val="584"/>
        </w:trPr>
        <w:tc>
          <w:tcPr>
            <w:tcW w:w="1271" w:type="dxa"/>
          </w:tcPr>
          <w:p w14:paraId="632A06EE" w14:textId="77777777" w:rsidR="00B8526D" w:rsidRPr="001F5A16" w:rsidRDefault="00B8526D" w:rsidP="00D56B63">
            <w:pPr>
              <w:overflowPunct/>
              <w:autoSpaceDE/>
              <w:autoSpaceDN/>
              <w:adjustRightInd/>
              <w:textAlignment w:val="auto"/>
              <w:rPr>
                <w:b/>
                <w:bCs/>
                <w:kern w:val="24"/>
                <w:sz w:val="22"/>
                <w:szCs w:val="22"/>
                <w:lang w:eastAsia="en-GB"/>
              </w:rPr>
            </w:pPr>
            <w:r>
              <w:rPr>
                <w:b/>
                <w:bCs/>
                <w:kern w:val="24"/>
                <w:sz w:val="22"/>
                <w:szCs w:val="22"/>
                <w:lang w:eastAsia="en-GB"/>
              </w:rPr>
              <w:t>Drug</w:t>
            </w:r>
          </w:p>
        </w:tc>
        <w:tc>
          <w:tcPr>
            <w:tcW w:w="1559" w:type="dxa"/>
            <w:hideMark/>
          </w:tcPr>
          <w:p w14:paraId="5E58B6B8" w14:textId="77777777" w:rsidR="00B8526D" w:rsidRPr="001F5A16" w:rsidRDefault="00B8526D" w:rsidP="00D56B63">
            <w:pPr>
              <w:overflowPunct/>
              <w:autoSpaceDE/>
              <w:autoSpaceDN/>
              <w:adjustRightInd/>
              <w:textAlignment w:val="auto"/>
              <w:rPr>
                <w:sz w:val="22"/>
                <w:szCs w:val="22"/>
                <w:lang w:eastAsia="en-GB"/>
              </w:rPr>
            </w:pPr>
            <w:r w:rsidRPr="001F5A16">
              <w:rPr>
                <w:b/>
                <w:bCs/>
                <w:kern w:val="24"/>
                <w:sz w:val="22"/>
                <w:szCs w:val="22"/>
                <w:lang w:eastAsia="en-GB"/>
              </w:rPr>
              <w:t>Abatacept</w:t>
            </w:r>
          </w:p>
          <w:p w14:paraId="0C669E05" w14:textId="77777777" w:rsidR="00B8526D" w:rsidRPr="001F5A16" w:rsidRDefault="00B8526D" w:rsidP="00D56B63">
            <w:pPr>
              <w:overflowPunct/>
              <w:autoSpaceDE/>
              <w:autoSpaceDN/>
              <w:adjustRightInd/>
              <w:textAlignment w:val="auto"/>
              <w:rPr>
                <w:sz w:val="22"/>
                <w:szCs w:val="22"/>
                <w:lang w:eastAsia="en-GB"/>
              </w:rPr>
            </w:pPr>
            <w:r w:rsidRPr="001F5A16">
              <w:rPr>
                <w:b/>
                <w:bCs/>
                <w:kern w:val="24"/>
                <w:sz w:val="22"/>
                <w:szCs w:val="22"/>
                <w:lang w:eastAsia="en-GB"/>
              </w:rPr>
              <w:t>(Orencia®)</w:t>
            </w:r>
          </w:p>
        </w:tc>
        <w:tc>
          <w:tcPr>
            <w:tcW w:w="1701" w:type="dxa"/>
            <w:hideMark/>
          </w:tcPr>
          <w:p w14:paraId="57C8CBE1" w14:textId="77777777" w:rsidR="00B8526D" w:rsidRPr="001F5A16" w:rsidRDefault="00B8526D" w:rsidP="00D56B63">
            <w:pPr>
              <w:overflowPunct/>
              <w:autoSpaceDE/>
              <w:autoSpaceDN/>
              <w:adjustRightInd/>
              <w:textAlignment w:val="auto"/>
              <w:rPr>
                <w:sz w:val="22"/>
                <w:szCs w:val="22"/>
                <w:lang w:eastAsia="en-GB"/>
              </w:rPr>
            </w:pPr>
            <w:r w:rsidRPr="001F5A16">
              <w:rPr>
                <w:b/>
                <w:bCs/>
                <w:kern w:val="24"/>
                <w:sz w:val="22"/>
                <w:szCs w:val="22"/>
                <w:lang w:eastAsia="en-GB"/>
              </w:rPr>
              <w:t>Belimumab</w:t>
            </w:r>
          </w:p>
          <w:p w14:paraId="4D425B11" w14:textId="77777777" w:rsidR="00B8526D" w:rsidRPr="001F5A16" w:rsidRDefault="00B8526D" w:rsidP="00D56B63">
            <w:pPr>
              <w:overflowPunct/>
              <w:autoSpaceDE/>
              <w:autoSpaceDN/>
              <w:adjustRightInd/>
              <w:textAlignment w:val="auto"/>
              <w:rPr>
                <w:sz w:val="22"/>
                <w:szCs w:val="22"/>
                <w:lang w:eastAsia="en-GB"/>
              </w:rPr>
            </w:pPr>
            <w:r w:rsidRPr="001F5A16">
              <w:rPr>
                <w:b/>
                <w:bCs/>
                <w:kern w:val="24"/>
                <w:sz w:val="22"/>
                <w:szCs w:val="22"/>
                <w:lang w:eastAsia="en-GB"/>
              </w:rPr>
              <w:t>(Benlysta®)</w:t>
            </w:r>
          </w:p>
        </w:tc>
        <w:tc>
          <w:tcPr>
            <w:tcW w:w="1560" w:type="dxa"/>
          </w:tcPr>
          <w:p w14:paraId="05AC7D56" w14:textId="77777777" w:rsidR="00B8526D" w:rsidRPr="001F5A16" w:rsidRDefault="00B8526D" w:rsidP="00D56B63">
            <w:pPr>
              <w:overflowPunct/>
              <w:autoSpaceDE/>
              <w:autoSpaceDN/>
              <w:adjustRightInd/>
              <w:textAlignment w:val="auto"/>
              <w:rPr>
                <w:b/>
                <w:bCs/>
                <w:kern w:val="24"/>
                <w:sz w:val="22"/>
                <w:szCs w:val="22"/>
                <w:lang w:eastAsia="en-GB"/>
              </w:rPr>
            </w:pPr>
            <w:r w:rsidRPr="001F5A16">
              <w:rPr>
                <w:b/>
                <w:bCs/>
                <w:kern w:val="24"/>
                <w:sz w:val="22"/>
                <w:szCs w:val="22"/>
                <w:lang w:eastAsia="en-GB"/>
              </w:rPr>
              <w:t>Ixekizumab</w:t>
            </w:r>
          </w:p>
          <w:p w14:paraId="4550FDC5" w14:textId="77777777" w:rsidR="00B8526D" w:rsidRPr="001F5A16" w:rsidRDefault="00B8526D" w:rsidP="00D56B63">
            <w:pPr>
              <w:overflowPunct/>
              <w:autoSpaceDE/>
              <w:autoSpaceDN/>
              <w:adjustRightInd/>
              <w:textAlignment w:val="auto"/>
              <w:rPr>
                <w:b/>
                <w:bCs/>
                <w:kern w:val="24"/>
                <w:sz w:val="22"/>
                <w:szCs w:val="22"/>
                <w:lang w:eastAsia="en-GB"/>
              </w:rPr>
            </w:pPr>
            <w:r w:rsidRPr="001F5A16">
              <w:rPr>
                <w:rFonts w:eastAsia="Arial Unicode MS"/>
                <w:b/>
                <w:sz w:val="22"/>
                <w:szCs w:val="22"/>
              </w:rPr>
              <w:t>Taltz</w:t>
            </w:r>
            <w:r w:rsidRPr="001F5A16">
              <w:rPr>
                <w:b/>
                <w:bCs/>
                <w:kern w:val="24"/>
                <w:sz w:val="22"/>
                <w:szCs w:val="22"/>
                <w:lang w:eastAsia="en-GB"/>
              </w:rPr>
              <w:t>®)</w:t>
            </w:r>
          </w:p>
        </w:tc>
        <w:tc>
          <w:tcPr>
            <w:tcW w:w="1653" w:type="dxa"/>
          </w:tcPr>
          <w:p w14:paraId="4F244AE1" w14:textId="77777777" w:rsidR="00B8526D" w:rsidRPr="001F5A16" w:rsidRDefault="00B8526D" w:rsidP="00D56B63">
            <w:pPr>
              <w:overflowPunct/>
              <w:autoSpaceDE/>
              <w:autoSpaceDN/>
              <w:adjustRightInd/>
              <w:textAlignment w:val="auto"/>
              <w:rPr>
                <w:sz w:val="22"/>
                <w:szCs w:val="22"/>
                <w:lang w:eastAsia="en-GB"/>
              </w:rPr>
            </w:pPr>
            <w:r w:rsidRPr="001F5A16">
              <w:rPr>
                <w:b/>
                <w:bCs/>
                <w:kern w:val="24"/>
                <w:sz w:val="22"/>
                <w:szCs w:val="22"/>
                <w:lang w:eastAsia="en-GB"/>
              </w:rPr>
              <w:t>Rituximab</w:t>
            </w:r>
          </w:p>
          <w:p w14:paraId="3E596B30" w14:textId="77777777" w:rsidR="00B8526D" w:rsidRPr="001F5A16" w:rsidRDefault="00B8526D" w:rsidP="00D56B63">
            <w:pPr>
              <w:overflowPunct/>
              <w:autoSpaceDE/>
              <w:autoSpaceDN/>
              <w:adjustRightInd/>
              <w:textAlignment w:val="auto"/>
              <w:rPr>
                <w:b/>
                <w:bCs/>
                <w:kern w:val="24"/>
                <w:sz w:val="22"/>
                <w:szCs w:val="22"/>
                <w:lang w:eastAsia="en-GB"/>
              </w:rPr>
            </w:pPr>
            <w:r w:rsidRPr="001F5A16">
              <w:rPr>
                <w:b/>
                <w:bCs/>
                <w:kern w:val="24"/>
                <w:sz w:val="22"/>
                <w:szCs w:val="22"/>
                <w:lang w:eastAsia="en-GB"/>
              </w:rPr>
              <w:t>(Mabthera®)</w:t>
            </w:r>
          </w:p>
        </w:tc>
        <w:tc>
          <w:tcPr>
            <w:tcW w:w="2126" w:type="dxa"/>
          </w:tcPr>
          <w:p w14:paraId="0771D4ED" w14:textId="77777777" w:rsidR="00B8526D" w:rsidRDefault="00B8526D" w:rsidP="00D56B63">
            <w:pPr>
              <w:overflowPunct/>
              <w:autoSpaceDE/>
              <w:autoSpaceDN/>
              <w:adjustRightInd/>
              <w:textAlignment w:val="auto"/>
              <w:rPr>
                <w:b/>
                <w:bCs/>
                <w:kern w:val="24"/>
                <w:sz w:val="22"/>
                <w:szCs w:val="22"/>
                <w:lang w:eastAsia="en-GB"/>
              </w:rPr>
            </w:pPr>
            <w:r w:rsidRPr="001F5A16">
              <w:rPr>
                <w:b/>
                <w:bCs/>
                <w:kern w:val="24"/>
                <w:sz w:val="22"/>
                <w:szCs w:val="22"/>
                <w:lang w:eastAsia="en-GB"/>
              </w:rPr>
              <w:t>Sarilumab</w:t>
            </w:r>
          </w:p>
          <w:p w14:paraId="35023C53" w14:textId="77777777" w:rsidR="00B8526D" w:rsidRPr="001F5A16" w:rsidRDefault="00B8526D" w:rsidP="00D56B63">
            <w:pPr>
              <w:overflowPunct/>
              <w:autoSpaceDE/>
              <w:autoSpaceDN/>
              <w:adjustRightInd/>
              <w:textAlignment w:val="auto"/>
              <w:rPr>
                <w:b/>
                <w:bCs/>
                <w:kern w:val="24"/>
                <w:sz w:val="22"/>
                <w:szCs w:val="22"/>
                <w:lang w:eastAsia="en-GB"/>
              </w:rPr>
            </w:pPr>
            <w:r>
              <w:rPr>
                <w:b/>
                <w:bCs/>
                <w:kern w:val="24"/>
                <w:sz w:val="22"/>
                <w:szCs w:val="22"/>
                <w:lang w:eastAsia="en-GB"/>
              </w:rPr>
              <w:t>(</w:t>
            </w:r>
            <w:r w:rsidRPr="00C97D00">
              <w:rPr>
                <w:rFonts w:eastAsia="Arial Unicode MS"/>
                <w:b/>
                <w:sz w:val="22"/>
                <w:szCs w:val="22"/>
              </w:rPr>
              <w:t>Kevzara</w:t>
            </w:r>
            <w:r w:rsidRPr="001F5A16">
              <w:rPr>
                <w:b/>
                <w:bCs/>
                <w:kern w:val="24"/>
                <w:sz w:val="22"/>
                <w:szCs w:val="22"/>
                <w:lang w:eastAsia="en-GB"/>
              </w:rPr>
              <w:t>®</w:t>
            </w:r>
            <w:r>
              <w:rPr>
                <w:b/>
                <w:bCs/>
                <w:kern w:val="24"/>
                <w:sz w:val="22"/>
                <w:szCs w:val="22"/>
                <w:lang w:eastAsia="en-GB"/>
              </w:rPr>
              <w:t>)</w:t>
            </w:r>
          </w:p>
        </w:tc>
        <w:tc>
          <w:tcPr>
            <w:tcW w:w="1843" w:type="dxa"/>
          </w:tcPr>
          <w:p w14:paraId="31D106C8" w14:textId="77777777" w:rsidR="00B8526D" w:rsidRDefault="00B8526D" w:rsidP="00D56B63">
            <w:pPr>
              <w:overflowPunct/>
              <w:autoSpaceDE/>
              <w:autoSpaceDN/>
              <w:adjustRightInd/>
              <w:textAlignment w:val="auto"/>
              <w:rPr>
                <w:b/>
                <w:bCs/>
                <w:kern w:val="24"/>
                <w:sz w:val="22"/>
                <w:szCs w:val="22"/>
                <w:lang w:eastAsia="en-GB"/>
              </w:rPr>
            </w:pPr>
            <w:r w:rsidRPr="001F5A16">
              <w:rPr>
                <w:b/>
                <w:bCs/>
                <w:kern w:val="24"/>
                <w:sz w:val="22"/>
                <w:szCs w:val="22"/>
                <w:lang w:eastAsia="en-GB"/>
              </w:rPr>
              <w:t>Secukinumab</w:t>
            </w:r>
          </w:p>
          <w:p w14:paraId="3AFDFD33" w14:textId="77777777" w:rsidR="00B8526D" w:rsidRPr="00E32E61" w:rsidRDefault="00B8526D" w:rsidP="00D56B63">
            <w:pPr>
              <w:overflowPunct/>
              <w:autoSpaceDE/>
              <w:autoSpaceDN/>
              <w:adjustRightInd/>
              <w:textAlignment w:val="auto"/>
              <w:rPr>
                <w:b/>
                <w:bCs/>
                <w:kern w:val="24"/>
                <w:sz w:val="22"/>
                <w:szCs w:val="22"/>
                <w:lang w:eastAsia="en-GB"/>
              </w:rPr>
            </w:pPr>
            <w:r>
              <w:rPr>
                <w:b/>
                <w:sz w:val="22"/>
                <w:szCs w:val="22"/>
              </w:rPr>
              <w:t>(</w:t>
            </w:r>
            <w:r w:rsidRPr="005C56E7">
              <w:rPr>
                <w:b/>
                <w:sz w:val="22"/>
                <w:szCs w:val="22"/>
              </w:rPr>
              <w:t>Cosentyx</w:t>
            </w:r>
            <w:r w:rsidRPr="001F5A16">
              <w:rPr>
                <w:b/>
                <w:bCs/>
                <w:kern w:val="24"/>
                <w:sz w:val="22"/>
                <w:szCs w:val="22"/>
                <w:lang w:eastAsia="en-GB"/>
              </w:rPr>
              <w:t>®</w:t>
            </w:r>
            <w:r>
              <w:rPr>
                <w:b/>
                <w:bCs/>
                <w:kern w:val="24"/>
                <w:sz w:val="22"/>
                <w:szCs w:val="22"/>
                <w:lang w:eastAsia="en-GB"/>
              </w:rPr>
              <w:t>)</w:t>
            </w:r>
          </w:p>
        </w:tc>
        <w:tc>
          <w:tcPr>
            <w:tcW w:w="1436" w:type="dxa"/>
          </w:tcPr>
          <w:p w14:paraId="3CE75F80" w14:textId="77777777" w:rsidR="00B8526D" w:rsidRPr="001F5A16" w:rsidRDefault="00B8526D" w:rsidP="00D56B63">
            <w:pPr>
              <w:overflowPunct/>
              <w:autoSpaceDE/>
              <w:autoSpaceDN/>
              <w:adjustRightInd/>
              <w:textAlignment w:val="auto"/>
              <w:rPr>
                <w:sz w:val="22"/>
                <w:szCs w:val="22"/>
                <w:lang w:eastAsia="en-GB"/>
              </w:rPr>
            </w:pPr>
            <w:r w:rsidRPr="001F5A16">
              <w:rPr>
                <w:b/>
                <w:bCs/>
                <w:kern w:val="24"/>
                <w:sz w:val="22"/>
                <w:szCs w:val="22"/>
                <w:lang w:eastAsia="en-GB"/>
              </w:rPr>
              <w:t>Tocilizumab</w:t>
            </w:r>
          </w:p>
          <w:p w14:paraId="13478067" w14:textId="77777777" w:rsidR="00B8526D" w:rsidRPr="001F5A16" w:rsidRDefault="00B8526D" w:rsidP="00D56B63">
            <w:pPr>
              <w:overflowPunct/>
              <w:autoSpaceDE/>
              <w:autoSpaceDN/>
              <w:adjustRightInd/>
              <w:textAlignment w:val="auto"/>
              <w:rPr>
                <w:b/>
                <w:bCs/>
                <w:kern w:val="24"/>
                <w:sz w:val="22"/>
                <w:szCs w:val="22"/>
                <w:lang w:eastAsia="en-GB"/>
              </w:rPr>
            </w:pPr>
            <w:r w:rsidRPr="001F5A16">
              <w:rPr>
                <w:b/>
                <w:bCs/>
                <w:kern w:val="24"/>
                <w:sz w:val="22"/>
                <w:szCs w:val="22"/>
                <w:lang w:eastAsia="en-GB"/>
              </w:rPr>
              <w:t>(RoActemra®)</w:t>
            </w:r>
          </w:p>
        </w:tc>
        <w:tc>
          <w:tcPr>
            <w:tcW w:w="2250" w:type="dxa"/>
          </w:tcPr>
          <w:p w14:paraId="3915AD29" w14:textId="77777777" w:rsidR="00B8526D" w:rsidRDefault="00B8526D" w:rsidP="00D56B63">
            <w:pPr>
              <w:overflowPunct/>
              <w:autoSpaceDE/>
              <w:autoSpaceDN/>
              <w:adjustRightInd/>
              <w:textAlignment w:val="auto"/>
              <w:rPr>
                <w:b/>
                <w:bCs/>
                <w:kern w:val="24"/>
                <w:sz w:val="22"/>
                <w:szCs w:val="22"/>
                <w:lang w:eastAsia="en-GB"/>
              </w:rPr>
            </w:pPr>
            <w:r w:rsidRPr="001F5A16">
              <w:rPr>
                <w:b/>
                <w:bCs/>
                <w:kern w:val="24"/>
                <w:sz w:val="22"/>
                <w:szCs w:val="22"/>
                <w:lang w:eastAsia="en-GB"/>
              </w:rPr>
              <w:t>Ustekinumab</w:t>
            </w:r>
          </w:p>
          <w:p w14:paraId="0FA0CB26" w14:textId="77777777" w:rsidR="00B8526D" w:rsidRPr="001F5A16" w:rsidRDefault="00B8526D" w:rsidP="00D56B63">
            <w:pPr>
              <w:overflowPunct/>
              <w:autoSpaceDE/>
              <w:autoSpaceDN/>
              <w:adjustRightInd/>
              <w:textAlignment w:val="auto"/>
              <w:rPr>
                <w:b/>
                <w:bCs/>
                <w:kern w:val="24"/>
                <w:sz w:val="22"/>
                <w:szCs w:val="22"/>
                <w:lang w:eastAsia="en-GB"/>
              </w:rPr>
            </w:pPr>
            <w:r>
              <w:rPr>
                <w:b/>
                <w:bCs/>
                <w:kern w:val="24"/>
                <w:sz w:val="22"/>
                <w:szCs w:val="22"/>
                <w:lang w:eastAsia="en-GB"/>
              </w:rPr>
              <w:t>(S</w:t>
            </w:r>
            <w:r w:rsidRPr="005C56E7">
              <w:rPr>
                <w:b/>
                <w:bCs/>
                <w:kern w:val="24"/>
                <w:sz w:val="22"/>
                <w:szCs w:val="22"/>
                <w:lang w:eastAsia="en-GB"/>
              </w:rPr>
              <w:t>telara</w:t>
            </w:r>
            <w:r w:rsidRPr="001F5A16">
              <w:rPr>
                <w:b/>
                <w:bCs/>
                <w:kern w:val="24"/>
                <w:sz w:val="22"/>
                <w:szCs w:val="22"/>
                <w:lang w:eastAsia="en-GB"/>
              </w:rPr>
              <w:t>®)</w:t>
            </w:r>
          </w:p>
        </w:tc>
      </w:tr>
      <w:tr w:rsidR="00B8526D" w:rsidRPr="001F5A16" w14:paraId="6033F546" w14:textId="77777777" w:rsidTr="00D56B63">
        <w:trPr>
          <w:trHeight w:val="1795"/>
        </w:trPr>
        <w:tc>
          <w:tcPr>
            <w:tcW w:w="1271" w:type="dxa"/>
          </w:tcPr>
          <w:p w14:paraId="1D723DDB" w14:textId="77777777" w:rsidR="00B8526D" w:rsidRPr="001F5A16" w:rsidRDefault="00B8526D" w:rsidP="00D56B63">
            <w:pPr>
              <w:overflowPunct/>
              <w:autoSpaceDE/>
              <w:autoSpaceDN/>
              <w:adjustRightInd/>
              <w:textAlignment w:val="auto"/>
              <w:rPr>
                <w:color w:val="000000"/>
                <w:kern w:val="24"/>
                <w:sz w:val="22"/>
                <w:szCs w:val="22"/>
                <w:lang w:eastAsia="en-GB"/>
              </w:rPr>
            </w:pPr>
            <w:r>
              <w:rPr>
                <w:color w:val="000000"/>
                <w:kern w:val="24"/>
                <w:sz w:val="22"/>
                <w:szCs w:val="22"/>
                <w:lang w:eastAsia="en-GB"/>
              </w:rPr>
              <w:t>Mechanism of action</w:t>
            </w:r>
          </w:p>
        </w:tc>
        <w:tc>
          <w:tcPr>
            <w:tcW w:w="1559" w:type="dxa"/>
            <w:hideMark/>
          </w:tcPr>
          <w:p w14:paraId="42BBB035" w14:textId="77777777" w:rsidR="00B8526D" w:rsidRPr="001F5A16" w:rsidRDefault="00B8526D" w:rsidP="00D56B63">
            <w:pPr>
              <w:overflowPunct/>
              <w:autoSpaceDE/>
              <w:autoSpaceDN/>
              <w:adjustRightInd/>
              <w:textAlignment w:val="auto"/>
              <w:rPr>
                <w:sz w:val="22"/>
                <w:szCs w:val="22"/>
                <w:lang w:eastAsia="en-GB"/>
              </w:rPr>
            </w:pPr>
            <w:r w:rsidRPr="001F5A16">
              <w:rPr>
                <w:color w:val="000000"/>
                <w:kern w:val="24"/>
                <w:sz w:val="22"/>
                <w:szCs w:val="22"/>
                <w:lang w:eastAsia="en-GB"/>
              </w:rPr>
              <w:t>Fusion protein – blocks T cell activation</w:t>
            </w:r>
          </w:p>
        </w:tc>
        <w:tc>
          <w:tcPr>
            <w:tcW w:w="1701" w:type="dxa"/>
            <w:hideMark/>
          </w:tcPr>
          <w:p w14:paraId="3563BD31" w14:textId="77777777" w:rsidR="00B8526D" w:rsidRPr="001F5A16" w:rsidRDefault="00B8526D" w:rsidP="00D56B63">
            <w:pPr>
              <w:overflowPunct/>
              <w:autoSpaceDE/>
              <w:autoSpaceDN/>
              <w:adjustRightInd/>
              <w:textAlignment w:val="auto"/>
              <w:rPr>
                <w:sz w:val="22"/>
                <w:szCs w:val="22"/>
                <w:lang w:eastAsia="en-GB"/>
              </w:rPr>
            </w:pPr>
            <w:r w:rsidRPr="001F5A16">
              <w:rPr>
                <w:color w:val="000000"/>
                <w:kern w:val="24"/>
                <w:sz w:val="22"/>
                <w:szCs w:val="22"/>
                <w:lang w:eastAsia="en-GB"/>
              </w:rPr>
              <w:t xml:space="preserve">human, IgG1λ monoclonal antibody  - blocks action of BLyS </w:t>
            </w:r>
          </w:p>
        </w:tc>
        <w:tc>
          <w:tcPr>
            <w:tcW w:w="1560" w:type="dxa"/>
          </w:tcPr>
          <w:p w14:paraId="4E5DD5C5" w14:textId="77777777" w:rsidR="00B8526D" w:rsidRPr="00A040DE" w:rsidRDefault="00B8526D" w:rsidP="00D56B63">
            <w:pPr>
              <w:overflowPunct/>
              <w:autoSpaceDE/>
              <w:autoSpaceDN/>
              <w:adjustRightInd/>
              <w:textAlignment w:val="auto"/>
              <w:rPr>
                <w:sz w:val="22"/>
                <w:szCs w:val="22"/>
              </w:rPr>
            </w:pPr>
            <w:r w:rsidRPr="00AB6659">
              <w:rPr>
                <w:sz w:val="22"/>
                <w:szCs w:val="22"/>
              </w:rPr>
              <w:t>IgG4 monoclonal antibody that binds 17A (both IL-17A and IL-17A/F)</w:t>
            </w:r>
          </w:p>
        </w:tc>
        <w:tc>
          <w:tcPr>
            <w:tcW w:w="1653" w:type="dxa"/>
          </w:tcPr>
          <w:p w14:paraId="00DEBFA9" w14:textId="77777777" w:rsidR="00B8526D" w:rsidRPr="00A040DE" w:rsidRDefault="00B8526D" w:rsidP="00D56B63">
            <w:pPr>
              <w:overflowPunct/>
              <w:autoSpaceDE/>
              <w:autoSpaceDN/>
              <w:adjustRightInd/>
              <w:textAlignment w:val="auto"/>
              <w:rPr>
                <w:sz w:val="22"/>
                <w:szCs w:val="22"/>
                <w:lang w:eastAsia="en-GB"/>
              </w:rPr>
            </w:pPr>
            <w:r w:rsidRPr="001F5A16">
              <w:rPr>
                <w:color w:val="000000"/>
                <w:kern w:val="24"/>
                <w:sz w:val="22"/>
                <w:szCs w:val="22"/>
                <w:lang w:eastAsia="en-GB"/>
              </w:rPr>
              <w:t>Monoclonal antibody – CD20 B cell depletion</w:t>
            </w:r>
          </w:p>
        </w:tc>
        <w:tc>
          <w:tcPr>
            <w:tcW w:w="2126" w:type="dxa"/>
          </w:tcPr>
          <w:p w14:paraId="7C6B68BE" w14:textId="77777777" w:rsidR="00B8526D" w:rsidRPr="001F5A16" w:rsidRDefault="00B8526D" w:rsidP="00D56B63">
            <w:pPr>
              <w:overflowPunct/>
              <w:autoSpaceDE/>
              <w:autoSpaceDN/>
              <w:adjustRightInd/>
              <w:textAlignment w:val="auto"/>
              <w:rPr>
                <w:color w:val="000000"/>
                <w:kern w:val="24"/>
                <w:sz w:val="22"/>
                <w:szCs w:val="22"/>
                <w:lang w:eastAsia="en-GB"/>
              </w:rPr>
            </w:pPr>
            <w:r>
              <w:rPr>
                <w:color w:val="000000"/>
                <w:kern w:val="24"/>
                <w:sz w:val="22"/>
                <w:szCs w:val="22"/>
                <w:lang w:eastAsia="en-GB"/>
              </w:rPr>
              <w:t>IgG1 subtype</w:t>
            </w:r>
            <w:r w:rsidRPr="00C97D00">
              <w:rPr>
                <w:color w:val="000000"/>
                <w:kern w:val="24"/>
                <w:sz w:val="22"/>
                <w:szCs w:val="22"/>
                <w:lang w:eastAsia="en-GB"/>
              </w:rPr>
              <w:t xml:space="preserve"> that specifically binds to both soluble and membrane-bound IL-6 receptors (IL-6Rα)</w:t>
            </w:r>
          </w:p>
        </w:tc>
        <w:tc>
          <w:tcPr>
            <w:tcW w:w="1843" w:type="dxa"/>
          </w:tcPr>
          <w:p w14:paraId="3F9E43A0" w14:textId="77777777" w:rsidR="00B8526D" w:rsidRPr="001F5A16" w:rsidRDefault="00B8526D" w:rsidP="00D56B63">
            <w:pPr>
              <w:overflowPunct/>
              <w:autoSpaceDE/>
              <w:autoSpaceDN/>
              <w:adjustRightInd/>
              <w:textAlignment w:val="auto"/>
              <w:rPr>
                <w:color w:val="000000"/>
                <w:kern w:val="24"/>
                <w:sz w:val="22"/>
                <w:szCs w:val="22"/>
                <w:lang w:eastAsia="en-GB"/>
              </w:rPr>
            </w:pPr>
            <w:r w:rsidRPr="00E32E61">
              <w:rPr>
                <w:color w:val="000000"/>
                <w:kern w:val="24"/>
                <w:sz w:val="22"/>
                <w:szCs w:val="22"/>
                <w:lang w:eastAsia="en-GB"/>
              </w:rPr>
              <w:t>IgG1/κ monoclonal antibody that selectively binds to and neutralises IL-17A</w:t>
            </w:r>
          </w:p>
        </w:tc>
        <w:tc>
          <w:tcPr>
            <w:tcW w:w="1436" w:type="dxa"/>
          </w:tcPr>
          <w:p w14:paraId="35952738" w14:textId="77777777" w:rsidR="00B8526D" w:rsidRPr="001F5A16" w:rsidRDefault="00B8526D" w:rsidP="00D56B63">
            <w:pPr>
              <w:overflowPunct/>
              <w:autoSpaceDE/>
              <w:autoSpaceDN/>
              <w:adjustRightInd/>
              <w:textAlignment w:val="auto"/>
              <w:rPr>
                <w:color w:val="000000"/>
                <w:kern w:val="24"/>
                <w:sz w:val="22"/>
                <w:szCs w:val="22"/>
                <w:lang w:eastAsia="en-GB"/>
              </w:rPr>
            </w:pPr>
            <w:r w:rsidRPr="001F5A16">
              <w:rPr>
                <w:color w:val="000000"/>
                <w:kern w:val="24"/>
                <w:sz w:val="22"/>
                <w:szCs w:val="22"/>
                <w:lang w:eastAsia="en-GB"/>
              </w:rPr>
              <w:t>Monoclonal antibody against soluble and membrane IL-6 receptor</w:t>
            </w:r>
          </w:p>
        </w:tc>
        <w:tc>
          <w:tcPr>
            <w:tcW w:w="2250" w:type="dxa"/>
          </w:tcPr>
          <w:p w14:paraId="360E5DDF" w14:textId="77777777" w:rsidR="00B8526D" w:rsidRPr="001F5A16" w:rsidRDefault="00B8526D" w:rsidP="00D56B63">
            <w:pPr>
              <w:overflowPunct/>
              <w:autoSpaceDE/>
              <w:autoSpaceDN/>
              <w:adjustRightInd/>
              <w:textAlignment w:val="auto"/>
              <w:rPr>
                <w:color w:val="000000"/>
                <w:kern w:val="24"/>
                <w:sz w:val="22"/>
                <w:szCs w:val="22"/>
                <w:lang w:eastAsia="en-GB"/>
              </w:rPr>
            </w:pPr>
            <w:r w:rsidRPr="005C56E7">
              <w:rPr>
                <w:color w:val="000000"/>
                <w:kern w:val="24"/>
                <w:sz w:val="22"/>
                <w:szCs w:val="22"/>
                <w:lang w:eastAsia="en-GB"/>
              </w:rPr>
              <w:t xml:space="preserve">IgG1κ monoclonal antibody that binds to the shared p40 protein subunit of </w:t>
            </w:r>
            <w:r>
              <w:rPr>
                <w:color w:val="000000"/>
                <w:kern w:val="24"/>
                <w:sz w:val="22"/>
                <w:szCs w:val="22"/>
                <w:lang w:eastAsia="en-GB"/>
              </w:rPr>
              <w:t>IL</w:t>
            </w:r>
            <w:r w:rsidRPr="005C56E7">
              <w:rPr>
                <w:color w:val="000000"/>
                <w:kern w:val="24"/>
                <w:sz w:val="22"/>
                <w:szCs w:val="22"/>
                <w:lang w:eastAsia="en-GB"/>
              </w:rPr>
              <w:t>-12 and IL-23</w:t>
            </w:r>
          </w:p>
        </w:tc>
      </w:tr>
      <w:tr w:rsidR="00B8526D" w:rsidRPr="001F5A16" w14:paraId="7D2A288B" w14:textId="77777777" w:rsidTr="00D56B63">
        <w:trPr>
          <w:trHeight w:val="2152"/>
        </w:trPr>
        <w:tc>
          <w:tcPr>
            <w:tcW w:w="1271" w:type="dxa"/>
          </w:tcPr>
          <w:p w14:paraId="44556049" w14:textId="77777777" w:rsidR="00B8526D" w:rsidRPr="001F5A16" w:rsidRDefault="00B8526D" w:rsidP="00D56B63">
            <w:pPr>
              <w:overflowPunct/>
              <w:autoSpaceDE/>
              <w:autoSpaceDN/>
              <w:adjustRightInd/>
              <w:textAlignment w:val="auto"/>
              <w:rPr>
                <w:color w:val="000000"/>
                <w:kern w:val="24"/>
                <w:sz w:val="22"/>
                <w:szCs w:val="22"/>
                <w:lang w:eastAsia="en-GB"/>
              </w:rPr>
            </w:pPr>
            <w:r>
              <w:rPr>
                <w:color w:val="000000"/>
                <w:kern w:val="24"/>
                <w:sz w:val="22"/>
                <w:szCs w:val="22"/>
                <w:lang w:eastAsia="en-GB"/>
              </w:rPr>
              <w:t>Licensing indication</w:t>
            </w:r>
          </w:p>
        </w:tc>
        <w:tc>
          <w:tcPr>
            <w:tcW w:w="1559" w:type="dxa"/>
          </w:tcPr>
          <w:p w14:paraId="1A5BB2E7" w14:textId="77777777" w:rsidR="00B8526D" w:rsidRPr="001F5A16" w:rsidRDefault="00B8526D" w:rsidP="00D56B63">
            <w:pPr>
              <w:overflowPunct/>
              <w:autoSpaceDE/>
              <w:autoSpaceDN/>
              <w:adjustRightInd/>
              <w:textAlignment w:val="auto"/>
              <w:rPr>
                <w:sz w:val="22"/>
                <w:szCs w:val="22"/>
                <w:lang w:eastAsia="en-GB"/>
              </w:rPr>
            </w:pPr>
            <w:r w:rsidRPr="001F5A16">
              <w:rPr>
                <w:color w:val="000000"/>
                <w:kern w:val="24"/>
                <w:sz w:val="22"/>
                <w:szCs w:val="22"/>
                <w:lang w:eastAsia="en-GB"/>
              </w:rPr>
              <w:t>Moderate to severe RA following DMARD failure (with MTX)</w:t>
            </w:r>
          </w:p>
          <w:p w14:paraId="195E0808" w14:textId="77777777" w:rsidR="00027BF1" w:rsidRDefault="00027BF1" w:rsidP="00D56B63">
            <w:pPr>
              <w:overflowPunct/>
              <w:autoSpaceDE/>
              <w:autoSpaceDN/>
              <w:adjustRightInd/>
              <w:textAlignment w:val="auto"/>
              <w:rPr>
                <w:color w:val="000000"/>
                <w:kern w:val="24"/>
                <w:sz w:val="22"/>
                <w:szCs w:val="22"/>
                <w:lang w:eastAsia="en-GB"/>
              </w:rPr>
            </w:pPr>
          </w:p>
          <w:p w14:paraId="4AEB0E5A" w14:textId="137E0D18" w:rsidR="00B8526D" w:rsidRPr="001F5A16" w:rsidRDefault="00B8526D" w:rsidP="00D56B63">
            <w:pPr>
              <w:overflowPunct/>
              <w:autoSpaceDE/>
              <w:autoSpaceDN/>
              <w:adjustRightInd/>
              <w:textAlignment w:val="auto"/>
              <w:rPr>
                <w:color w:val="000000"/>
                <w:kern w:val="24"/>
                <w:sz w:val="22"/>
                <w:szCs w:val="22"/>
                <w:lang w:eastAsia="en-GB"/>
              </w:rPr>
            </w:pPr>
            <w:r w:rsidRPr="001F5A16">
              <w:rPr>
                <w:color w:val="000000"/>
                <w:kern w:val="24"/>
                <w:sz w:val="22"/>
                <w:szCs w:val="22"/>
                <w:lang w:eastAsia="en-GB"/>
              </w:rPr>
              <w:t>JIA</w:t>
            </w:r>
            <w:r w:rsidR="000E420A">
              <w:rPr>
                <w:color w:val="000000"/>
                <w:kern w:val="24"/>
                <w:sz w:val="22"/>
                <w:szCs w:val="22"/>
                <w:lang w:eastAsia="en-GB"/>
              </w:rPr>
              <w:t xml:space="preserve"> following failure of DMARD incl ≥1 TNFi</w:t>
            </w:r>
          </w:p>
        </w:tc>
        <w:tc>
          <w:tcPr>
            <w:tcW w:w="1701" w:type="dxa"/>
          </w:tcPr>
          <w:p w14:paraId="369262A5" w14:textId="77777777" w:rsidR="00B8526D" w:rsidRPr="001F5A16" w:rsidRDefault="00B8526D" w:rsidP="00D56B63">
            <w:pPr>
              <w:overflowPunct/>
              <w:autoSpaceDE/>
              <w:autoSpaceDN/>
              <w:adjustRightInd/>
              <w:textAlignment w:val="auto"/>
              <w:rPr>
                <w:color w:val="000000"/>
                <w:kern w:val="24"/>
                <w:sz w:val="22"/>
                <w:szCs w:val="22"/>
                <w:lang w:eastAsia="en-GB"/>
              </w:rPr>
            </w:pPr>
            <w:r w:rsidRPr="001F5A16">
              <w:rPr>
                <w:color w:val="000000"/>
                <w:kern w:val="24"/>
                <w:sz w:val="22"/>
                <w:szCs w:val="22"/>
                <w:lang w:eastAsia="en-GB"/>
              </w:rPr>
              <w:t>Add on therapy active autoantibody positive SLE with high disease activity (excluding CNS and lupus nephritis)</w:t>
            </w:r>
          </w:p>
        </w:tc>
        <w:tc>
          <w:tcPr>
            <w:tcW w:w="1560" w:type="dxa"/>
          </w:tcPr>
          <w:p w14:paraId="559A58CF" w14:textId="709515B3" w:rsidR="00027BF1" w:rsidRDefault="00B8526D" w:rsidP="00027BF1">
            <w:pPr>
              <w:overflowPunct/>
              <w:autoSpaceDE/>
              <w:autoSpaceDN/>
              <w:adjustRightInd/>
              <w:textAlignment w:val="auto"/>
              <w:rPr>
                <w:sz w:val="22"/>
                <w:szCs w:val="22"/>
              </w:rPr>
            </w:pPr>
            <w:r>
              <w:rPr>
                <w:sz w:val="22"/>
                <w:szCs w:val="22"/>
              </w:rPr>
              <w:t xml:space="preserve">PsA, alone or in combination with MTX, when failed ≥2 DMARDS and ≥3 swollen + ≥ 3 tender joints </w:t>
            </w:r>
            <w:r w:rsidR="00027BF1">
              <w:rPr>
                <w:sz w:val="22"/>
                <w:szCs w:val="22"/>
              </w:rPr>
              <w:t>OR n</w:t>
            </w:r>
            <w:r>
              <w:rPr>
                <w:sz w:val="22"/>
                <w:szCs w:val="22"/>
              </w:rPr>
              <w:t xml:space="preserve">o response to TNFs within 12 weeks </w:t>
            </w:r>
            <w:r w:rsidR="00027BF1">
              <w:rPr>
                <w:sz w:val="22"/>
                <w:szCs w:val="22"/>
              </w:rPr>
              <w:t>OR</w:t>
            </w:r>
          </w:p>
          <w:p w14:paraId="28DF2684" w14:textId="5C8E2E7D" w:rsidR="00B8526D" w:rsidRPr="00AB6659" w:rsidRDefault="00B8526D" w:rsidP="00027BF1">
            <w:pPr>
              <w:overflowPunct/>
              <w:autoSpaceDE/>
              <w:autoSpaceDN/>
              <w:adjustRightInd/>
              <w:textAlignment w:val="auto"/>
              <w:rPr>
                <w:sz w:val="22"/>
                <w:szCs w:val="22"/>
              </w:rPr>
            </w:pPr>
            <w:r>
              <w:rPr>
                <w:sz w:val="22"/>
                <w:szCs w:val="22"/>
              </w:rPr>
              <w:t>TNF CI</w:t>
            </w:r>
          </w:p>
        </w:tc>
        <w:tc>
          <w:tcPr>
            <w:tcW w:w="1653" w:type="dxa"/>
          </w:tcPr>
          <w:p w14:paraId="13D54FE0" w14:textId="77777777" w:rsidR="00B8526D" w:rsidRPr="001F5A16" w:rsidRDefault="00B8526D" w:rsidP="00D56B63">
            <w:pPr>
              <w:overflowPunct/>
              <w:autoSpaceDE/>
              <w:autoSpaceDN/>
              <w:adjustRightInd/>
              <w:textAlignment w:val="auto"/>
              <w:rPr>
                <w:sz w:val="22"/>
                <w:szCs w:val="22"/>
                <w:lang w:eastAsia="en-GB"/>
              </w:rPr>
            </w:pPr>
            <w:r w:rsidRPr="001F5A16">
              <w:rPr>
                <w:color w:val="000000"/>
                <w:kern w:val="24"/>
                <w:sz w:val="22"/>
                <w:szCs w:val="22"/>
                <w:lang w:eastAsia="en-GB"/>
              </w:rPr>
              <w:t>RA (with MTX) following DMARD + TNFi failure</w:t>
            </w:r>
          </w:p>
          <w:p w14:paraId="557C033F" w14:textId="77777777" w:rsidR="00DC3508" w:rsidRDefault="00DC3508" w:rsidP="00D56B63">
            <w:pPr>
              <w:overflowPunct/>
              <w:autoSpaceDE/>
              <w:autoSpaceDN/>
              <w:adjustRightInd/>
              <w:textAlignment w:val="auto"/>
              <w:rPr>
                <w:color w:val="000000"/>
                <w:kern w:val="24"/>
                <w:sz w:val="22"/>
                <w:szCs w:val="22"/>
                <w:lang w:eastAsia="en-GB"/>
              </w:rPr>
            </w:pPr>
          </w:p>
          <w:p w14:paraId="79660782" w14:textId="37487330" w:rsidR="00B8526D" w:rsidRPr="001F5A16" w:rsidRDefault="00DC3508" w:rsidP="00D56B63">
            <w:pPr>
              <w:overflowPunct/>
              <w:autoSpaceDE/>
              <w:autoSpaceDN/>
              <w:adjustRightInd/>
              <w:textAlignment w:val="auto"/>
              <w:rPr>
                <w:sz w:val="22"/>
                <w:szCs w:val="22"/>
                <w:lang w:eastAsia="en-GB"/>
              </w:rPr>
            </w:pPr>
            <w:r>
              <w:rPr>
                <w:color w:val="000000"/>
                <w:kern w:val="24"/>
                <w:sz w:val="22"/>
                <w:szCs w:val="22"/>
                <w:lang w:eastAsia="en-GB"/>
              </w:rPr>
              <w:t>ANCA associated vasculitis</w:t>
            </w:r>
            <w:r w:rsidR="00B8526D" w:rsidRPr="001F5A16">
              <w:rPr>
                <w:color w:val="000000"/>
                <w:kern w:val="24"/>
                <w:sz w:val="22"/>
                <w:szCs w:val="22"/>
                <w:lang w:eastAsia="en-GB"/>
              </w:rPr>
              <w:t xml:space="preserve"> with glucocorticoids</w:t>
            </w:r>
          </w:p>
          <w:p w14:paraId="24028C43" w14:textId="7D76736F" w:rsidR="00B8526D" w:rsidRPr="001F5A16" w:rsidRDefault="00B8526D" w:rsidP="00D56B63">
            <w:pPr>
              <w:overflowPunct/>
              <w:autoSpaceDE/>
              <w:autoSpaceDN/>
              <w:adjustRightInd/>
              <w:textAlignment w:val="auto"/>
              <w:rPr>
                <w:color w:val="000000"/>
                <w:kern w:val="24"/>
                <w:sz w:val="22"/>
                <w:szCs w:val="22"/>
                <w:lang w:eastAsia="en-GB"/>
              </w:rPr>
            </w:pPr>
          </w:p>
        </w:tc>
        <w:tc>
          <w:tcPr>
            <w:tcW w:w="2126" w:type="dxa"/>
          </w:tcPr>
          <w:p w14:paraId="10CBBD1C" w14:textId="77777777" w:rsidR="00B8526D" w:rsidRPr="001F5A16" w:rsidRDefault="00B8526D" w:rsidP="00D56B63">
            <w:pPr>
              <w:overflowPunct/>
              <w:autoSpaceDE/>
              <w:autoSpaceDN/>
              <w:adjustRightInd/>
              <w:textAlignment w:val="auto"/>
              <w:rPr>
                <w:color w:val="000000"/>
                <w:kern w:val="24"/>
                <w:sz w:val="22"/>
                <w:szCs w:val="22"/>
                <w:lang w:eastAsia="en-GB"/>
              </w:rPr>
            </w:pPr>
            <w:r>
              <w:rPr>
                <w:color w:val="000000"/>
                <w:kern w:val="24"/>
                <w:sz w:val="22"/>
                <w:szCs w:val="22"/>
                <w:lang w:eastAsia="en-GB"/>
              </w:rPr>
              <w:t xml:space="preserve">RA +/-MTX following failure of DMARD </w:t>
            </w:r>
          </w:p>
        </w:tc>
        <w:tc>
          <w:tcPr>
            <w:tcW w:w="1843" w:type="dxa"/>
          </w:tcPr>
          <w:p w14:paraId="73229BAF" w14:textId="77777777" w:rsidR="00B8526D" w:rsidRDefault="00B8526D" w:rsidP="00D56B63">
            <w:pPr>
              <w:overflowPunct/>
              <w:autoSpaceDE/>
              <w:autoSpaceDN/>
              <w:adjustRightInd/>
              <w:textAlignment w:val="auto"/>
              <w:rPr>
                <w:color w:val="000000"/>
                <w:kern w:val="24"/>
                <w:sz w:val="22"/>
                <w:szCs w:val="22"/>
                <w:lang w:eastAsia="en-GB"/>
              </w:rPr>
            </w:pPr>
            <w:r>
              <w:rPr>
                <w:color w:val="000000"/>
                <w:kern w:val="24"/>
                <w:sz w:val="22"/>
                <w:szCs w:val="22"/>
                <w:lang w:eastAsia="en-GB"/>
              </w:rPr>
              <w:t xml:space="preserve">AS in patients who responded </w:t>
            </w:r>
            <w:r w:rsidRPr="005C56E7">
              <w:rPr>
                <w:color w:val="000000"/>
                <w:kern w:val="24"/>
                <w:sz w:val="22"/>
                <w:szCs w:val="22"/>
                <w:lang w:eastAsia="en-GB"/>
              </w:rPr>
              <w:t xml:space="preserve">inadequately to </w:t>
            </w:r>
            <w:r>
              <w:rPr>
                <w:color w:val="000000"/>
                <w:kern w:val="24"/>
                <w:sz w:val="22"/>
                <w:szCs w:val="22"/>
                <w:lang w:eastAsia="en-GB"/>
              </w:rPr>
              <w:t>NSAIDs</w:t>
            </w:r>
            <w:r w:rsidRPr="005C56E7">
              <w:rPr>
                <w:color w:val="000000"/>
                <w:kern w:val="24"/>
                <w:sz w:val="22"/>
                <w:szCs w:val="22"/>
                <w:lang w:eastAsia="en-GB"/>
              </w:rPr>
              <w:t xml:space="preserve"> or TNF</w:t>
            </w:r>
            <w:r>
              <w:rPr>
                <w:color w:val="000000"/>
                <w:kern w:val="24"/>
                <w:sz w:val="22"/>
                <w:szCs w:val="22"/>
                <w:lang w:eastAsia="en-GB"/>
              </w:rPr>
              <w:t>i</w:t>
            </w:r>
          </w:p>
          <w:p w14:paraId="11BB717A" w14:textId="77777777" w:rsidR="00B8526D" w:rsidRDefault="00B8526D" w:rsidP="00D56B63">
            <w:pPr>
              <w:overflowPunct/>
              <w:autoSpaceDE/>
              <w:autoSpaceDN/>
              <w:adjustRightInd/>
              <w:textAlignment w:val="auto"/>
              <w:rPr>
                <w:color w:val="000000"/>
                <w:kern w:val="24"/>
                <w:sz w:val="22"/>
                <w:szCs w:val="22"/>
                <w:lang w:eastAsia="en-GB"/>
              </w:rPr>
            </w:pPr>
          </w:p>
          <w:p w14:paraId="6FD831E0" w14:textId="339A03F8" w:rsidR="00027BF1" w:rsidRDefault="00B8526D" w:rsidP="00D56B63">
            <w:pPr>
              <w:overflowPunct/>
              <w:autoSpaceDE/>
              <w:autoSpaceDN/>
              <w:adjustRightInd/>
              <w:textAlignment w:val="auto"/>
              <w:rPr>
                <w:sz w:val="22"/>
                <w:szCs w:val="22"/>
              </w:rPr>
            </w:pPr>
            <w:r>
              <w:rPr>
                <w:color w:val="000000"/>
                <w:kern w:val="24"/>
                <w:sz w:val="22"/>
                <w:szCs w:val="22"/>
                <w:lang w:eastAsia="en-GB"/>
              </w:rPr>
              <w:t xml:space="preserve">PsA (+/- MTX) </w:t>
            </w:r>
            <w:r>
              <w:rPr>
                <w:sz w:val="22"/>
                <w:szCs w:val="22"/>
              </w:rPr>
              <w:t xml:space="preserve">when failed ≥2 DMARDS + ≥3 swollen + ≥ 3 tender joints </w:t>
            </w:r>
            <w:r w:rsidR="00027BF1">
              <w:rPr>
                <w:sz w:val="22"/>
                <w:szCs w:val="22"/>
              </w:rPr>
              <w:t>OR n</w:t>
            </w:r>
            <w:r>
              <w:rPr>
                <w:sz w:val="22"/>
                <w:szCs w:val="22"/>
              </w:rPr>
              <w:t>o resp</w:t>
            </w:r>
            <w:r w:rsidR="00027BF1">
              <w:rPr>
                <w:sz w:val="22"/>
                <w:szCs w:val="22"/>
              </w:rPr>
              <w:t xml:space="preserve">onse to TNFs within 12 weeks OR </w:t>
            </w:r>
          </w:p>
          <w:p w14:paraId="0A727156" w14:textId="655E5B0F" w:rsidR="00B8526D" w:rsidRPr="001F5A16" w:rsidRDefault="00B8526D" w:rsidP="00D56B63">
            <w:pPr>
              <w:overflowPunct/>
              <w:autoSpaceDE/>
              <w:autoSpaceDN/>
              <w:adjustRightInd/>
              <w:textAlignment w:val="auto"/>
              <w:rPr>
                <w:color w:val="000000"/>
                <w:kern w:val="24"/>
                <w:sz w:val="22"/>
                <w:szCs w:val="22"/>
                <w:lang w:eastAsia="en-GB"/>
              </w:rPr>
            </w:pPr>
            <w:r>
              <w:rPr>
                <w:sz w:val="22"/>
                <w:szCs w:val="22"/>
              </w:rPr>
              <w:t>TNF CI</w:t>
            </w:r>
          </w:p>
        </w:tc>
        <w:tc>
          <w:tcPr>
            <w:tcW w:w="1436" w:type="dxa"/>
          </w:tcPr>
          <w:p w14:paraId="6372A3A4" w14:textId="77777777" w:rsidR="00B8526D" w:rsidRPr="001F5A16" w:rsidRDefault="00B8526D" w:rsidP="00D56B63">
            <w:pPr>
              <w:overflowPunct/>
              <w:autoSpaceDE/>
              <w:autoSpaceDN/>
              <w:adjustRightInd/>
              <w:textAlignment w:val="auto"/>
              <w:rPr>
                <w:sz w:val="22"/>
                <w:szCs w:val="22"/>
                <w:lang w:eastAsia="en-GB"/>
              </w:rPr>
            </w:pPr>
            <w:r w:rsidRPr="001F5A16">
              <w:rPr>
                <w:color w:val="000000"/>
                <w:kern w:val="24"/>
                <w:sz w:val="22"/>
                <w:szCs w:val="22"/>
                <w:lang w:eastAsia="en-GB"/>
              </w:rPr>
              <w:t xml:space="preserve">RA (+/-MTX) following DMARD failure </w:t>
            </w:r>
          </w:p>
          <w:p w14:paraId="3FFCBBA5" w14:textId="2F8D3CC0" w:rsidR="00B8526D" w:rsidRDefault="00B8526D" w:rsidP="00D56B63">
            <w:pPr>
              <w:overflowPunct/>
              <w:autoSpaceDE/>
              <w:autoSpaceDN/>
              <w:adjustRightInd/>
              <w:textAlignment w:val="auto"/>
              <w:rPr>
                <w:color w:val="000000"/>
                <w:kern w:val="24"/>
                <w:sz w:val="22"/>
                <w:szCs w:val="22"/>
                <w:lang w:eastAsia="en-GB"/>
              </w:rPr>
            </w:pPr>
            <w:r w:rsidRPr="001F5A16">
              <w:rPr>
                <w:color w:val="000000"/>
                <w:kern w:val="24"/>
                <w:sz w:val="22"/>
                <w:szCs w:val="22"/>
                <w:lang w:eastAsia="en-GB"/>
              </w:rPr>
              <w:t>JIA (+/- MTX)</w:t>
            </w:r>
          </w:p>
          <w:p w14:paraId="0DBD323D" w14:textId="77777777" w:rsidR="00DC47BE" w:rsidRDefault="00DC47BE" w:rsidP="00D56B63">
            <w:pPr>
              <w:overflowPunct/>
              <w:autoSpaceDE/>
              <w:autoSpaceDN/>
              <w:adjustRightInd/>
              <w:textAlignment w:val="auto"/>
              <w:rPr>
                <w:color w:val="000000"/>
                <w:kern w:val="24"/>
                <w:sz w:val="22"/>
                <w:szCs w:val="22"/>
                <w:lang w:eastAsia="en-GB"/>
              </w:rPr>
            </w:pPr>
          </w:p>
          <w:p w14:paraId="58605688" w14:textId="53B97B54" w:rsidR="00DC47BE" w:rsidRPr="001F5A16" w:rsidRDefault="00DC47BE" w:rsidP="00D56B63">
            <w:pPr>
              <w:overflowPunct/>
              <w:autoSpaceDE/>
              <w:autoSpaceDN/>
              <w:adjustRightInd/>
              <w:textAlignment w:val="auto"/>
              <w:rPr>
                <w:sz w:val="22"/>
                <w:szCs w:val="22"/>
                <w:lang w:eastAsia="en-GB"/>
              </w:rPr>
            </w:pPr>
            <w:r>
              <w:rPr>
                <w:color w:val="000000"/>
                <w:kern w:val="24"/>
                <w:sz w:val="22"/>
                <w:szCs w:val="22"/>
                <w:lang w:eastAsia="en-GB"/>
              </w:rPr>
              <w:t>GCA</w:t>
            </w:r>
          </w:p>
          <w:p w14:paraId="5DB78673" w14:textId="7CBE36AE" w:rsidR="00B8526D" w:rsidRPr="001F5A16" w:rsidRDefault="00B8526D" w:rsidP="00D56B63">
            <w:pPr>
              <w:overflowPunct/>
              <w:autoSpaceDE/>
              <w:autoSpaceDN/>
              <w:adjustRightInd/>
              <w:textAlignment w:val="auto"/>
              <w:rPr>
                <w:color w:val="000000"/>
                <w:kern w:val="24"/>
                <w:sz w:val="22"/>
                <w:szCs w:val="22"/>
                <w:lang w:eastAsia="en-GB"/>
              </w:rPr>
            </w:pPr>
          </w:p>
        </w:tc>
        <w:tc>
          <w:tcPr>
            <w:tcW w:w="2250" w:type="dxa"/>
          </w:tcPr>
          <w:p w14:paraId="64ADDDFD" w14:textId="1BC92E82" w:rsidR="00B8526D" w:rsidRPr="001F5A16" w:rsidRDefault="00B8526D" w:rsidP="00027BF1">
            <w:pPr>
              <w:overflowPunct/>
              <w:autoSpaceDE/>
              <w:autoSpaceDN/>
              <w:adjustRightInd/>
              <w:textAlignment w:val="auto"/>
              <w:rPr>
                <w:color w:val="000000"/>
                <w:kern w:val="24"/>
                <w:sz w:val="22"/>
                <w:szCs w:val="22"/>
                <w:lang w:eastAsia="en-GB"/>
              </w:rPr>
            </w:pPr>
            <w:r>
              <w:rPr>
                <w:color w:val="000000"/>
                <w:kern w:val="24"/>
                <w:sz w:val="22"/>
                <w:szCs w:val="22"/>
                <w:lang w:eastAsia="en-GB"/>
              </w:rPr>
              <w:t xml:space="preserve">PsA (+/- MTX) when ≥1 TNFi </w:t>
            </w:r>
            <w:r w:rsidR="00027BF1">
              <w:rPr>
                <w:color w:val="000000"/>
                <w:kern w:val="24"/>
                <w:sz w:val="22"/>
                <w:szCs w:val="22"/>
                <w:lang w:eastAsia="en-GB"/>
              </w:rPr>
              <w:t>OR</w:t>
            </w:r>
            <w:r>
              <w:rPr>
                <w:color w:val="000000"/>
                <w:kern w:val="24"/>
                <w:sz w:val="22"/>
                <w:szCs w:val="22"/>
                <w:lang w:eastAsia="en-GB"/>
              </w:rPr>
              <w:t xml:space="preserve"> TNFi CI</w:t>
            </w:r>
          </w:p>
        </w:tc>
      </w:tr>
      <w:tr w:rsidR="00B8526D" w:rsidRPr="001F5A16" w14:paraId="3380BF2D" w14:textId="77777777" w:rsidTr="00027BF1">
        <w:trPr>
          <w:trHeight w:val="766"/>
        </w:trPr>
        <w:tc>
          <w:tcPr>
            <w:tcW w:w="1271" w:type="dxa"/>
          </w:tcPr>
          <w:p w14:paraId="55626371" w14:textId="77777777" w:rsidR="00B8526D" w:rsidRPr="001F5A16" w:rsidRDefault="00B8526D" w:rsidP="00D56B63">
            <w:pPr>
              <w:overflowPunct/>
              <w:autoSpaceDE/>
              <w:autoSpaceDN/>
              <w:adjustRightInd/>
              <w:textAlignment w:val="auto"/>
              <w:rPr>
                <w:color w:val="000000"/>
                <w:kern w:val="24"/>
                <w:sz w:val="22"/>
                <w:szCs w:val="22"/>
                <w:lang w:eastAsia="en-GB"/>
              </w:rPr>
            </w:pPr>
            <w:r>
              <w:rPr>
                <w:color w:val="000000"/>
                <w:kern w:val="24"/>
                <w:sz w:val="22"/>
                <w:szCs w:val="22"/>
                <w:lang w:eastAsia="en-GB"/>
              </w:rPr>
              <w:t xml:space="preserve">NICE guidelines </w:t>
            </w:r>
          </w:p>
        </w:tc>
        <w:tc>
          <w:tcPr>
            <w:tcW w:w="1559" w:type="dxa"/>
          </w:tcPr>
          <w:p w14:paraId="77A2771C" w14:textId="77777777" w:rsidR="00B8526D" w:rsidRDefault="00B8526D" w:rsidP="00D56B63">
            <w:pPr>
              <w:overflowPunct/>
              <w:autoSpaceDE/>
              <w:autoSpaceDN/>
              <w:adjustRightInd/>
              <w:textAlignment w:val="auto"/>
              <w:rPr>
                <w:rStyle w:val="Hyperlink"/>
                <w:kern w:val="24"/>
                <w:sz w:val="22"/>
                <w:szCs w:val="22"/>
                <w:lang w:eastAsia="en-GB"/>
              </w:rPr>
            </w:pPr>
            <w:r>
              <w:rPr>
                <w:color w:val="000000"/>
                <w:kern w:val="24"/>
                <w:sz w:val="22"/>
                <w:szCs w:val="22"/>
                <w:lang w:eastAsia="en-GB"/>
              </w:rPr>
              <w:t xml:space="preserve">RA: </w:t>
            </w:r>
            <w:hyperlink r:id="rId38" w:history="1">
              <w:r w:rsidRPr="004132B1">
                <w:rPr>
                  <w:rStyle w:val="Hyperlink"/>
                  <w:kern w:val="24"/>
                  <w:sz w:val="22"/>
                  <w:szCs w:val="22"/>
                  <w:lang w:eastAsia="en-GB"/>
                </w:rPr>
                <w:t>TA375</w:t>
              </w:r>
            </w:hyperlink>
            <w:r w:rsidR="001C116E">
              <w:rPr>
                <w:rStyle w:val="Hyperlink"/>
                <w:kern w:val="24"/>
                <w:sz w:val="22"/>
                <w:szCs w:val="22"/>
                <w:lang w:eastAsia="en-GB"/>
              </w:rPr>
              <w:t xml:space="preserve">; </w:t>
            </w:r>
            <w:hyperlink r:id="rId39" w:history="1">
              <w:r w:rsidR="001C116E" w:rsidRPr="001C116E">
                <w:rPr>
                  <w:rStyle w:val="Hyperlink"/>
                  <w:kern w:val="24"/>
                  <w:sz w:val="22"/>
                  <w:szCs w:val="22"/>
                  <w:lang w:eastAsia="en-GB"/>
                </w:rPr>
                <w:t>TA195</w:t>
              </w:r>
            </w:hyperlink>
          </w:p>
          <w:p w14:paraId="3A8DC523" w14:textId="6053770A" w:rsidR="00586C73" w:rsidRPr="001F5A16" w:rsidRDefault="00586C73" w:rsidP="00D56B63">
            <w:pPr>
              <w:overflowPunct/>
              <w:autoSpaceDE/>
              <w:autoSpaceDN/>
              <w:adjustRightInd/>
              <w:textAlignment w:val="auto"/>
              <w:rPr>
                <w:color w:val="000000"/>
                <w:kern w:val="24"/>
                <w:sz w:val="22"/>
                <w:szCs w:val="22"/>
                <w:lang w:eastAsia="en-GB"/>
              </w:rPr>
            </w:pPr>
            <w:r w:rsidRPr="00884993">
              <w:rPr>
                <w:sz w:val="22"/>
                <w:szCs w:val="22"/>
              </w:rPr>
              <w:t>JIA</w:t>
            </w:r>
            <w:r>
              <w:rPr>
                <w:sz w:val="22"/>
                <w:szCs w:val="22"/>
              </w:rPr>
              <w:t>:</w:t>
            </w:r>
            <w:r w:rsidRPr="00884993">
              <w:rPr>
                <w:sz w:val="22"/>
                <w:szCs w:val="22"/>
              </w:rPr>
              <w:t xml:space="preserve"> </w:t>
            </w:r>
            <w:hyperlink r:id="rId40" w:history="1">
              <w:r w:rsidRPr="00586C73">
                <w:rPr>
                  <w:rStyle w:val="Hyperlink"/>
                  <w:sz w:val="22"/>
                  <w:szCs w:val="22"/>
                </w:rPr>
                <w:t>TA373</w:t>
              </w:r>
            </w:hyperlink>
          </w:p>
        </w:tc>
        <w:tc>
          <w:tcPr>
            <w:tcW w:w="1701" w:type="dxa"/>
          </w:tcPr>
          <w:p w14:paraId="6BD09672" w14:textId="025F7EF0" w:rsidR="00B8526D" w:rsidRPr="001F5A16" w:rsidRDefault="004E1CE6" w:rsidP="00D56B63">
            <w:pPr>
              <w:overflowPunct/>
              <w:autoSpaceDE/>
              <w:autoSpaceDN/>
              <w:adjustRightInd/>
              <w:textAlignment w:val="auto"/>
              <w:rPr>
                <w:color w:val="000000"/>
                <w:kern w:val="24"/>
                <w:sz w:val="22"/>
                <w:szCs w:val="22"/>
                <w:lang w:eastAsia="en-GB"/>
              </w:rPr>
            </w:pPr>
            <w:r>
              <w:rPr>
                <w:color w:val="000000"/>
                <w:kern w:val="24"/>
                <w:sz w:val="22"/>
                <w:szCs w:val="22"/>
                <w:lang w:eastAsia="en-GB"/>
              </w:rPr>
              <w:t xml:space="preserve">SLE: </w:t>
            </w:r>
            <w:hyperlink r:id="rId41" w:history="1">
              <w:r w:rsidRPr="004E1CE6">
                <w:rPr>
                  <w:rStyle w:val="Hyperlink"/>
                  <w:kern w:val="24"/>
                  <w:sz w:val="22"/>
                  <w:szCs w:val="22"/>
                  <w:lang w:eastAsia="en-GB"/>
                </w:rPr>
                <w:t>TA397</w:t>
              </w:r>
            </w:hyperlink>
          </w:p>
        </w:tc>
        <w:tc>
          <w:tcPr>
            <w:tcW w:w="1560" w:type="dxa"/>
          </w:tcPr>
          <w:p w14:paraId="3C287F3D" w14:textId="6EE6F423" w:rsidR="00B8526D" w:rsidRDefault="00323D19" w:rsidP="00D56B63">
            <w:pPr>
              <w:overflowPunct/>
              <w:autoSpaceDE/>
              <w:autoSpaceDN/>
              <w:adjustRightInd/>
              <w:textAlignment w:val="auto"/>
              <w:rPr>
                <w:sz w:val="22"/>
                <w:szCs w:val="22"/>
              </w:rPr>
            </w:pPr>
            <w:hyperlink r:id="rId42" w:history="1">
              <w:r w:rsidR="00B8526D" w:rsidRPr="00027BF1">
                <w:rPr>
                  <w:rStyle w:val="Hyperlink"/>
                  <w:sz w:val="22"/>
                  <w:szCs w:val="22"/>
                </w:rPr>
                <w:t>TA 537</w:t>
              </w:r>
            </w:hyperlink>
          </w:p>
        </w:tc>
        <w:tc>
          <w:tcPr>
            <w:tcW w:w="1653" w:type="dxa"/>
          </w:tcPr>
          <w:p w14:paraId="245D358B" w14:textId="77777777" w:rsidR="00B8526D" w:rsidRDefault="00DC3508" w:rsidP="00D56B63">
            <w:pPr>
              <w:overflowPunct/>
              <w:autoSpaceDE/>
              <w:autoSpaceDN/>
              <w:adjustRightInd/>
              <w:textAlignment w:val="auto"/>
              <w:rPr>
                <w:rStyle w:val="Hyperlink"/>
                <w:kern w:val="24"/>
                <w:sz w:val="22"/>
                <w:szCs w:val="22"/>
                <w:lang w:eastAsia="en-GB"/>
              </w:rPr>
            </w:pPr>
            <w:r w:rsidRPr="00DC3508">
              <w:rPr>
                <w:rStyle w:val="Hyperlink"/>
                <w:color w:val="auto"/>
                <w:kern w:val="24"/>
                <w:sz w:val="22"/>
                <w:szCs w:val="22"/>
                <w:u w:val="none"/>
                <w:lang w:eastAsia="en-GB"/>
              </w:rPr>
              <w:t>RA:</w:t>
            </w:r>
            <w:r w:rsidRPr="00DC3508">
              <w:rPr>
                <w:rStyle w:val="Hyperlink"/>
                <w:color w:val="auto"/>
                <w:kern w:val="24"/>
                <w:sz w:val="22"/>
                <w:szCs w:val="22"/>
                <w:lang w:eastAsia="en-GB"/>
              </w:rPr>
              <w:t xml:space="preserve"> </w:t>
            </w:r>
            <w:hyperlink r:id="rId43" w:history="1">
              <w:r w:rsidR="001C116E" w:rsidRPr="001C116E">
                <w:rPr>
                  <w:rStyle w:val="Hyperlink"/>
                  <w:kern w:val="24"/>
                  <w:sz w:val="22"/>
                  <w:szCs w:val="22"/>
                  <w:lang w:eastAsia="en-GB"/>
                </w:rPr>
                <w:t>TA195</w:t>
              </w:r>
            </w:hyperlink>
          </w:p>
          <w:p w14:paraId="78A60952" w14:textId="02762002" w:rsidR="00DC3508" w:rsidRPr="00DC3508" w:rsidRDefault="00DC3508" w:rsidP="00D56B63">
            <w:pPr>
              <w:overflowPunct/>
              <w:autoSpaceDE/>
              <w:autoSpaceDN/>
              <w:adjustRightInd/>
              <w:textAlignment w:val="auto"/>
              <w:rPr>
                <w:color w:val="000000"/>
                <w:kern w:val="24"/>
                <w:sz w:val="22"/>
                <w:szCs w:val="22"/>
                <w:lang w:eastAsia="en-GB"/>
              </w:rPr>
            </w:pPr>
            <w:r w:rsidRPr="00DC3508">
              <w:rPr>
                <w:rStyle w:val="Hyperlink"/>
                <w:color w:val="auto"/>
                <w:kern w:val="24"/>
                <w:sz w:val="22"/>
                <w:szCs w:val="22"/>
                <w:u w:val="none"/>
                <w:lang w:eastAsia="en-GB"/>
              </w:rPr>
              <w:t xml:space="preserve">Vasculitis: </w:t>
            </w:r>
            <w:hyperlink r:id="rId44" w:history="1">
              <w:r w:rsidRPr="00DC3508">
                <w:rPr>
                  <w:rStyle w:val="Hyperlink"/>
                  <w:kern w:val="24"/>
                  <w:sz w:val="22"/>
                  <w:szCs w:val="22"/>
                  <w:lang w:eastAsia="en-GB"/>
                </w:rPr>
                <w:t>TA308</w:t>
              </w:r>
            </w:hyperlink>
          </w:p>
        </w:tc>
        <w:tc>
          <w:tcPr>
            <w:tcW w:w="2126" w:type="dxa"/>
          </w:tcPr>
          <w:p w14:paraId="14C0778B" w14:textId="019375BB" w:rsidR="00B8526D" w:rsidRPr="001F5A16" w:rsidRDefault="00323D19" w:rsidP="00D56B63">
            <w:pPr>
              <w:overflowPunct/>
              <w:autoSpaceDE/>
              <w:autoSpaceDN/>
              <w:adjustRightInd/>
              <w:textAlignment w:val="auto"/>
              <w:rPr>
                <w:color w:val="000000"/>
                <w:kern w:val="24"/>
                <w:sz w:val="22"/>
                <w:szCs w:val="22"/>
                <w:lang w:eastAsia="en-GB"/>
              </w:rPr>
            </w:pPr>
            <w:hyperlink r:id="rId45" w:history="1">
              <w:r w:rsidR="00B8526D" w:rsidRPr="001C116E">
                <w:rPr>
                  <w:rStyle w:val="Hyperlink"/>
                  <w:kern w:val="24"/>
                  <w:sz w:val="22"/>
                  <w:szCs w:val="22"/>
                  <w:lang w:eastAsia="en-GB"/>
                </w:rPr>
                <w:t>TA485</w:t>
              </w:r>
            </w:hyperlink>
          </w:p>
        </w:tc>
        <w:tc>
          <w:tcPr>
            <w:tcW w:w="1843" w:type="dxa"/>
          </w:tcPr>
          <w:p w14:paraId="36B6C093" w14:textId="77777777" w:rsidR="00B8526D" w:rsidRDefault="00B8526D" w:rsidP="00D56B63">
            <w:pPr>
              <w:overflowPunct/>
              <w:autoSpaceDE/>
              <w:autoSpaceDN/>
              <w:adjustRightInd/>
              <w:textAlignment w:val="auto"/>
              <w:rPr>
                <w:color w:val="000000"/>
                <w:kern w:val="24"/>
                <w:sz w:val="22"/>
                <w:szCs w:val="22"/>
                <w:lang w:eastAsia="en-GB"/>
              </w:rPr>
            </w:pPr>
            <w:r>
              <w:rPr>
                <w:color w:val="000000"/>
                <w:kern w:val="24"/>
                <w:sz w:val="22"/>
                <w:szCs w:val="22"/>
                <w:lang w:eastAsia="en-GB"/>
              </w:rPr>
              <w:t xml:space="preserve">AS: </w:t>
            </w:r>
            <w:hyperlink r:id="rId46" w:history="1">
              <w:r w:rsidRPr="00855CD3">
                <w:rPr>
                  <w:rStyle w:val="Hyperlink"/>
                  <w:kern w:val="24"/>
                  <w:sz w:val="22"/>
                  <w:szCs w:val="22"/>
                  <w:lang w:eastAsia="en-GB"/>
                </w:rPr>
                <w:t>TA 407</w:t>
              </w:r>
            </w:hyperlink>
          </w:p>
          <w:p w14:paraId="1C06A045" w14:textId="77777777" w:rsidR="00B8526D" w:rsidRPr="001F5A16" w:rsidRDefault="00B8526D" w:rsidP="00D56B63">
            <w:pPr>
              <w:overflowPunct/>
              <w:autoSpaceDE/>
              <w:autoSpaceDN/>
              <w:adjustRightInd/>
              <w:textAlignment w:val="auto"/>
              <w:rPr>
                <w:color w:val="000000"/>
                <w:kern w:val="24"/>
                <w:sz w:val="22"/>
                <w:szCs w:val="22"/>
                <w:lang w:eastAsia="en-GB"/>
              </w:rPr>
            </w:pPr>
            <w:r>
              <w:rPr>
                <w:color w:val="000000"/>
                <w:kern w:val="24"/>
                <w:sz w:val="22"/>
                <w:szCs w:val="22"/>
                <w:lang w:eastAsia="en-GB"/>
              </w:rPr>
              <w:t xml:space="preserve">PsA: </w:t>
            </w:r>
            <w:hyperlink r:id="rId47" w:history="1">
              <w:r w:rsidRPr="00604B75">
                <w:rPr>
                  <w:rStyle w:val="Hyperlink"/>
                  <w:kern w:val="24"/>
                  <w:sz w:val="22"/>
                  <w:szCs w:val="22"/>
                  <w:lang w:eastAsia="en-GB"/>
                </w:rPr>
                <w:t>TA445</w:t>
              </w:r>
            </w:hyperlink>
          </w:p>
        </w:tc>
        <w:tc>
          <w:tcPr>
            <w:tcW w:w="1436" w:type="dxa"/>
          </w:tcPr>
          <w:p w14:paraId="55D39958" w14:textId="77777777" w:rsidR="00B8526D" w:rsidRDefault="00B8526D" w:rsidP="00D56B63">
            <w:pPr>
              <w:overflowPunct/>
              <w:autoSpaceDE/>
              <w:autoSpaceDN/>
              <w:adjustRightInd/>
              <w:textAlignment w:val="auto"/>
              <w:rPr>
                <w:rStyle w:val="Hyperlink"/>
                <w:kern w:val="24"/>
                <w:sz w:val="22"/>
                <w:szCs w:val="22"/>
                <w:lang w:eastAsia="en-GB"/>
              </w:rPr>
            </w:pPr>
            <w:r>
              <w:rPr>
                <w:color w:val="000000"/>
                <w:kern w:val="24"/>
                <w:sz w:val="22"/>
                <w:szCs w:val="22"/>
                <w:lang w:eastAsia="en-GB"/>
              </w:rPr>
              <w:t xml:space="preserve">RA: </w:t>
            </w:r>
            <w:hyperlink r:id="rId48" w:history="1">
              <w:r w:rsidRPr="004132B1">
                <w:rPr>
                  <w:rStyle w:val="Hyperlink"/>
                  <w:kern w:val="24"/>
                  <w:sz w:val="22"/>
                  <w:szCs w:val="22"/>
                  <w:lang w:eastAsia="en-GB"/>
                </w:rPr>
                <w:t>TA375</w:t>
              </w:r>
            </w:hyperlink>
            <w:r w:rsidR="001C116E">
              <w:rPr>
                <w:rStyle w:val="Hyperlink"/>
                <w:kern w:val="24"/>
                <w:sz w:val="22"/>
                <w:szCs w:val="22"/>
                <w:lang w:eastAsia="en-GB"/>
              </w:rPr>
              <w:t xml:space="preserve">; </w:t>
            </w:r>
            <w:hyperlink r:id="rId49" w:history="1">
              <w:r w:rsidR="001C116E" w:rsidRPr="001C116E">
                <w:rPr>
                  <w:rStyle w:val="Hyperlink"/>
                  <w:kern w:val="24"/>
                  <w:sz w:val="22"/>
                  <w:szCs w:val="22"/>
                  <w:lang w:eastAsia="en-GB"/>
                </w:rPr>
                <w:t>TA247</w:t>
              </w:r>
            </w:hyperlink>
          </w:p>
          <w:p w14:paraId="7B675CB9" w14:textId="77777777" w:rsidR="00586C73" w:rsidRDefault="00586C73" w:rsidP="00D56B63">
            <w:pPr>
              <w:overflowPunct/>
              <w:autoSpaceDE/>
              <w:autoSpaceDN/>
              <w:adjustRightInd/>
              <w:textAlignment w:val="auto"/>
              <w:rPr>
                <w:sz w:val="22"/>
                <w:szCs w:val="22"/>
              </w:rPr>
            </w:pPr>
            <w:r w:rsidRPr="00884993">
              <w:rPr>
                <w:sz w:val="22"/>
                <w:szCs w:val="22"/>
              </w:rPr>
              <w:t>JIA</w:t>
            </w:r>
            <w:r>
              <w:rPr>
                <w:sz w:val="22"/>
                <w:szCs w:val="22"/>
              </w:rPr>
              <w:t>:</w:t>
            </w:r>
            <w:r w:rsidRPr="00884993">
              <w:rPr>
                <w:sz w:val="22"/>
                <w:szCs w:val="22"/>
              </w:rPr>
              <w:t xml:space="preserve"> </w:t>
            </w:r>
            <w:hyperlink r:id="rId50" w:history="1">
              <w:r w:rsidRPr="00586C73">
                <w:rPr>
                  <w:rStyle w:val="Hyperlink"/>
                  <w:sz w:val="22"/>
                  <w:szCs w:val="22"/>
                </w:rPr>
                <w:t>TA373</w:t>
              </w:r>
            </w:hyperlink>
          </w:p>
          <w:p w14:paraId="453F3AE0" w14:textId="3202FCA3" w:rsidR="00DC47BE" w:rsidRPr="001F5A16" w:rsidRDefault="00DC47BE" w:rsidP="00D56B63">
            <w:pPr>
              <w:overflowPunct/>
              <w:autoSpaceDE/>
              <w:autoSpaceDN/>
              <w:adjustRightInd/>
              <w:textAlignment w:val="auto"/>
              <w:rPr>
                <w:color w:val="000000"/>
                <w:kern w:val="24"/>
                <w:sz w:val="22"/>
                <w:szCs w:val="22"/>
                <w:lang w:eastAsia="en-GB"/>
              </w:rPr>
            </w:pPr>
            <w:r>
              <w:rPr>
                <w:sz w:val="22"/>
                <w:szCs w:val="22"/>
              </w:rPr>
              <w:t xml:space="preserve">GCA: </w:t>
            </w:r>
            <w:hyperlink r:id="rId51" w:history="1">
              <w:r w:rsidRPr="00DC47BE">
                <w:rPr>
                  <w:rStyle w:val="Hyperlink"/>
                  <w:sz w:val="22"/>
                  <w:szCs w:val="22"/>
                </w:rPr>
                <w:t>TA518</w:t>
              </w:r>
            </w:hyperlink>
          </w:p>
        </w:tc>
        <w:tc>
          <w:tcPr>
            <w:tcW w:w="2250" w:type="dxa"/>
          </w:tcPr>
          <w:p w14:paraId="25C28BFA" w14:textId="1E19ABBE" w:rsidR="00B8526D" w:rsidRPr="001F5A16" w:rsidRDefault="00323D19" w:rsidP="00D56B63">
            <w:pPr>
              <w:overflowPunct/>
              <w:autoSpaceDE/>
              <w:autoSpaceDN/>
              <w:adjustRightInd/>
              <w:textAlignment w:val="auto"/>
              <w:rPr>
                <w:color w:val="000000"/>
                <w:kern w:val="24"/>
                <w:sz w:val="22"/>
                <w:szCs w:val="22"/>
                <w:lang w:eastAsia="en-GB"/>
              </w:rPr>
            </w:pPr>
            <w:hyperlink r:id="rId52" w:history="1">
              <w:r w:rsidR="00B8526D" w:rsidRPr="00AD75BF">
                <w:rPr>
                  <w:rStyle w:val="Hyperlink"/>
                  <w:kern w:val="24"/>
                  <w:sz w:val="22"/>
                  <w:szCs w:val="22"/>
                  <w:lang w:eastAsia="en-GB"/>
                </w:rPr>
                <w:t>TA340</w:t>
              </w:r>
            </w:hyperlink>
          </w:p>
        </w:tc>
      </w:tr>
    </w:tbl>
    <w:p w14:paraId="6D32F484" w14:textId="585FB260" w:rsidR="00B8526D" w:rsidRDefault="00B8526D" w:rsidP="00B8526D">
      <w:pPr>
        <w:overflowPunct/>
        <w:autoSpaceDE/>
        <w:autoSpaceDN/>
        <w:adjustRightInd/>
        <w:spacing w:after="160" w:line="259" w:lineRule="auto"/>
        <w:textAlignment w:val="auto"/>
      </w:pPr>
    </w:p>
    <w:p w14:paraId="6A4B0189" w14:textId="7416F423" w:rsidR="00E33A0A" w:rsidRDefault="00E33A0A" w:rsidP="00B8526D">
      <w:pPr>
        <w:overflowPunct/>
        <w:autoSpaceDE/>
        <w:autoSpaceDN/>
        <w:adjustRightInd/>
        <w:spacing w:after="160" w:line="259" w:lineRule="auto"/>
        <w:textAlignment w:val="auto"/>
      </w:pPr>
    </w:p>
    <w:p w14:paraId="2FA0D967" w14:textId="6FB7390B" w:rsidR="00E33A0A" w:rsidRDefault="00E33A0A" w:rsidP="00B8526D">
      <w:pPr>
        <w:overflowPunct/>
        <w:autoSpaceDE/>
        <w:autoSpaceDN/>
        <w:adjustRightInd/>
        <w:spacing w:after="160" w:line="259" w:lineRule="auto"/>
        <w:textAlignment w:val="auto"/>
      </w:pPr>
    </w:p>
    <w:p w14:paraId="4806D4BC" w14:textId="7A613414" w:rsidR="003178DF" w:rsidRDefault="003178DF" w:rsidP="00B8526D">
      <w:pPr>
        <w:overflowPunct/>
        <w:autoSpaceDE/>
        <w:autoSpaceDN/>
        <w:adjustRightInd/>
        <w:spacing w:after="160" w:line="259" w:lineRule="auto"/>
        <w:textAlignment w:val="auto"/>
        <w:sectPr w:rsidR="003178DF" w:rsidSect="003178DF">
          <w:pgSz w:w="16838" w:h="11906" w:orient="landscape"/>
          <w:pgMar w:top="1440" w:right="1440" w:bottom="1440" w:left="1440" w:header="708" w:footer="708" w:gutter="0"/>
          <w:cols w:space="708"/>
          <w:docGrid w:linePitch="360"/>
        </w:sectPr>
      </w:pPr>
    </w:p>
    <w:p w14:paraId="4AFE6601" w14:textId="4539733D" w:rsidR="00E33A0A" w:rsidRDefault="00E33A0A" w:rsidP="003178DF">
      <w:pPr>
        <w:pStyle w:val="Heading2"/>
        <w:sectPr w:rsidR="00E33A0A" w:rsidSect="00E33A0A">
          <w:pgSz w:w="11906" w:h="16838"/>
          <w:pgMar w:top="1440" w:right="1440" w:bottom="1440" w:left="1440" w:header="708" w:footer="708" w:gutter="0"/>
          <w:cols w:space="708"/>
          <w:docGrid w:linePitch="360"/>
        </w:sectPr>
      </w:pPr>
      <w:bookmarkStart w:id="19" w:name="_Toc531873931"/>
      <w:r>
        <w:lastRenderedPageBreak/>
        <w:t>Table 3: targeted synthetic DMARDS</w:t>
      </w:r>
      <w:bookmarkEnd w:id="19"/>
    </w:p>
    <w:tbl>
      <w:tblPr>
        <w:tblStyle w:val="TableGrid"/>
        <w:tblpPr w:leftFromText="180" w:rightFromText="180" w:horzAnchor="page" w:tblpX="2383" w:tblpY="780"/>
        <w:tblW w:w="6091" w:type="dxa"/>
        <w:tblLayout w:type="fixed"/>
        <w:tblLook w:val="0420" w:firstRow="1" w:lastRow="0" w:firstColumn="0" w:lastColumn="0" w:noHBand="0" w:noVBand="1"/>
      </w:tblPr>
      <w:tblGrid>
        <w:gridCol w:w="1271"/>
        <w:gridCol w:w="1559"/>
        <w:gridCol w:w="1701"/>
        <w:gridCol w:w="1560"/>
      </w:tblGrid>
      <w:tr w:rsidR="008142F5" w:rsidRPr="001F5A16" w14:paraId="703ABB7D" w14:textId="77777777" w:rsidTr="00F153A1">
        <w:trPr>
          <w:trHeight w:val="584"/>
        </w:trPr>
        <w:tc>
          <w:tcPr>
            <w:tcW w:w="1271" w:type="dxa"/>
          </w:tcPr>
          <w:p w14:paraId="6D10A476" w14:textId="77777777" w:rsidR="008142F5" w:rsidRPr="001F5A16" w:rsidRDefault="008142F5" w:rsidP="00F153A1">
            <w:pPr>
              <w:overflowPunct/>
              <w:autoSpaceDE/>
              <w:autoSpaceDN/>
              <w:adjustRightInd/>
              <w:textAlignment w:val="auto"/>
              <w:rPr>
                <w:b/>
                <w:bCs/>
                <w:kern w:val="24"/>
                <w:sz w:val="22"/>
                <w:szCs w:val="22"/>
                <w:lang w:eastAsia="en-GB"/>
              </w:rPr>
            </w:pPr>
            <w:r>
              <w:rPr>
                <w:b/>
                <w:bCs/>
                <w:kern w:val="24"/>
                <w:sz w:val="22"/>
                <w:szCs w:val="22"/>
                <w:lang w:eastAsia="en-GB"/>
              </w:rPr>
              <w:t>Drug</w:t>
            </w:r>
          </w:p>
        </w:tc>
        <w:tc>
          <w:tcPr>
            <w:tcW w:w="1559" w:type="dxa"/>
          </w:tcPr>
          <w:p w14:paraId="474BBE34" w14:textId="5E108A38" w:rsidR="008142F5" w:rsidRPr="001F5A16" w:rsidRDefault="008142F5" w:rsidP="00F153A1">
            <w:pPr>
              <w:overflowPunct/>
              <w:autoSpaceDE/>
              <w:autoSpaceDN/>
              <w:adjustRightInd/>
              <w:textAlignment w:val="auto"/>
              <w:rPr>
                <w:sz w:val="22"/>
                <w:szCs w:val="22"/>
                <w:lang w:eastAsia="en-GB"/>
              </w:rPr>
            </w:pPr>
            <w:r>
              <w:rPr>
                <w:sz w:val="22"/>
                <w:szCs w:val="22"/>
                <w:lang w:eastAsia="en-GB"/>
              </w:rPr>
              <w:t>Apremilast</w:t>
            </w:r>
          </w:p>
        </w:tc>
        <w:tc>
          <w:tcPr>
            <w:tcW w:w="1701" w:type="dxa"/>
          </w:tcPr>
          <w:p w14:paraId="2ABE6E19" w14:textId="5597B1E8" w:rsidR="008142F5" w:rsidRPr="001F5A16" w:rsidRDefault="008142F5" w:rsidP="00F153A1">
            <w:pPr>
              <w:overflowPunct/>
              <w:autoSpaceDE/>
              <w:autoSpaceDN/>
              <w:adjustRightInd/>
              <w:textAlignment w:val="auto"/>
              <w:rPr>
                <w:sz w:val="22"/>
                <w:szCs w:val="22"/>
                <w:lang w:eastAsia="en-GB"/>
              </w:rPr>
            </w:pPr>
            <w:r>
              <w:rPr>
                <w:sz w:val="22"/>
                <w:szCs w:val="22"/>
                <w:lang w:eastAsia="en-GB"/>
              </w:rPr>
              <w:t>Baricitinib</w:t>
            </w:r>
          </w:p>
        </w:tc>
        <w:tc>
          <w:tcPr>
            <w:tcW w:w="1560" w:type="dxa"/>
          </w:tcPr>
          <w:p w14:paraId="1C378B4D" w14:textId="33A59F2D" w:rsidR="008142F5" w:rsidRPr="00E33A0A" w:rsidRDefault="008142F5" w:rsidP="00F153A1">
            <w:pPr>
              <w:overflowPunct/>
              <w:autoSpaceDE/>
              <w:autoSpaceDN/>
              <w:adjustRightInd/>
              <w:textAlignment w:val="auto"/>
              <w:rPr>
                <w:bCs/>
                <w:kern w:val="24"/>
                <w:sz w:val="22"/>
                <w:szCs w:val="22"/>
                <w:lang w:eastAsia="en-GB"/>
              </w:rPr>
            </w:pPr>
            <w:r w:rsidRPr="00E33A0A">
              <w:rPr>
                <w:bCs/>
                <w:kern w:val="24"/>
                <w:sz w:val="22"/>
                <w:szCs w:val="22"/>
                <w:lang w:eastAsia="en-GB"/>
              </w:rPr>
              <w:t>Tofacitinib</w:t>
            </w:r>
          </w:p>
        </w:tc>
      </w:tr>
      <w:tr w:rsidR="008142F5" w:rsidRPr="001F5A16" w14:paraId="75E4F308" w14:textId="77777777" w:rsidTr="00F153A1">
        <w:trPr>
          <w:trHeight w:val="1795"/>
        </w:trPr>
        <w:tc>
          <w:tcPr>
            <w:tcW w:w="1271" w:type="dxa"/>
          </w:tcPr>
          <w:p w14:paraId="1837AAEA" w14:textId="77777777" w:rsidR="008142F5" w:rsidRPr="001F5A16" w:rsidRDefault="008142F5" w:rsidP="00F153A1">
            <w:pPr>
              <w:overflowPunct/>
              <w:autoSpaceDE/>
              <w:autoSpaceDN/>
              <w:adjustRightInd/>
              <w:textAlignment w:val="auto"/>
              <w:rPr>
                <w:color w:val="000000"/>
                <w:kern w:val="24"/>
                <w:sz w:val="22"/>
                <w:szCs w:val="22"/>
                <w:lang w:eastAsia="en-GB"/>
              </w:rPr>
            </w:pPr>
            <w:r>
              <w:rPr>
                <w:color w:val="000000"/>
                <w:kern w:val="24"/>
                <w:sz w:val="22"/>
                <w:szCs w:val="22"/>
                <w:lang w:eastAsia="en-GB"/>
              </w:rPr>
              <w:t>Mechanism of action</w:t>
            </w:r>
          </w:p>
        </w:tc>
        <w:tc>
          <w:tcPr>
            <w:tcW w:w="1559" w:type="dxa"/>
          </w:tcPr>
          <w:p w14:paraId="2AA49A44" w14:textId="2653E547" w:rsidR="008142F5" w:rsidRPr="001F5A16" w:rsidRDefault="008142F5" w:rsidP="00F153A1">
            <w:pPr>
              <w:overflowPunct/>
              <w:autoSpaceDE/>
              <w:autoSpaceDN/>
              <w:adjustRightInd/>
              <w:textAlignment w:val="auto"/>
              <w:rPr>
                <w:sz w:val="22"/>
                <w:szCs w:val="22"/>
                <w:lang w:eastAsia="en-GB"/>
              </w:rPr>
            </w:pPr>
            <w:r>
              <w:rPr>
                <w:sz w:val="22"/>
                <w:szCs w:val="22"/>
                <w:lang w:eastAsia="en-GB"/>
              </w:rPr>
              <w:t>PDE-4 inhibitor</w:t>
            </w:r>
          </w:p>
        </w:tc>
        <w:tc>
          <w:tcPr>
            <w:tcW w:w="1701" w:type="dxa"/>
          </w:tcPr>
          <w:p w14:paraId="07BEF295" w14:textId="601AAE39" w:rsidR="008142F5" w:rsidRPr="001F5A16" w:rsidRDefault="00E973BF" w:rsidP="00F153A1">
            <w:pPr>
              <w:overflowPunct/>
              <w:autoSpaceDE/>
              <w:autoSpaceDN/>
              <w:adjustRightInd/>
              <w:textAlignment w:val="auto"/>
              <w:rPr>
                <w:sz w:val="22"/>
                <w:szCs w:val="22"/>
                <w:lang w:eastAsia="en-GB"/>
              </w:rPr>
            </w:pPr>
            <w:r>
              <w:rPr>
                <w:sz w:val="22"/>
                <w:szCs w:val="22"/>
                <w:lang w:eastAsia="en-GB"/>
              </w:rPr>
              <w:t>Reversible JAK 1 and JAK</w:t>
            </w:r>
            <w:r w:rsidR="008142F5">
              <w:rPr>
                <w:sz w:val="22"/>
                <w:szCs w:val="22"/>
                <w:lang w:eastAsia="en-GB"/>
              </w:rPr>
              <w:t xml:space="preserve"> 2 inhibitor </w:t>
            </w:r>
          </w:p>
        </w:tc>
        <w:tc>
          <w:tcPr>
            <w:tcW w:w="1560" w:type="dxa"/>
          </w:tcPr>
          <w:p w14:paraId="436CE35E" w14:textId="474B40DD" w:rsidR="008142F5" w:rsidRPr="00A040DE" w:rsidRDefault="008142F5" w:rsidP="00F153A1">
            <w:pPr>
              <w:overflowPunct/>
              <w:autoSpaceDE/>
              <w:autoSpaceDN/>
              <w:adjustRightInd/>
              <w:textAlignment w:val="auto"/>
              <w:rPr>
                <w:sz w:val="22"/>
                <w:szCs w:val="22"/>
              </w:rPr>
            </w:pPr>
            <w:r>
              <w:rPr>
                <w:sz w:val="22"/>
                <w:szCs w:val="22"/>
              </w:rPr>
              <w:t>JAK inhibitor</w:t>
            </w:r>
          </w:p>
        </w:tc>
      </w:tr>
      <w:tr w:rsidR="008142F5" w:rsidRPr="001F5A16" w14:paraId="5FFD3524" w14:textId="77777777" w:rsidTr="00F153A1">
        <w:trPr>
          <w:trHeight w:val="2152"/>
        </w:trPr>
        <w:tc>
          <w:tcPr>
            <w:tcW w:w="1271" w:type="dxa"/>
          </w:tcPr>
          <w:p w14:paraId="6B4C7CBB" w14:textId="77777777" w:rsidR="008142F5" w:rsidRPr="001F5A16" w:rsidRDefault="008142F5" w:rsidP="00F153A1">
            <w:pPr>
              <w:overflowPunct/>
              <w:autoSpaceDE/>
              <w:autoSpaceDN/>
              <w:adjustRightInd/>
              <w:textAlignment w:val="auto"/>
              <w:rPr>
                <w:color w:val="000000"/>
                <w:kern w:val="24"/>
                <w:sz w:val="22"/>
                <w:szCs w:val="22"/>
                <w:lang w:eastAsia="en-GB"/>
              </w:rPr>
            </w:pPr>
            <w:r>
              <w:rPr>
                <w:color w:val="000000"/>
                <w:kern w:val="24"/>
                <w:sz w:val="22"/>
                <w:szCs w:val="22"/>
                <w:lang w:eastAsia="en-GB"/>
              </w:rPr>
              <w:t>Licensing indication</w:t>
            </w:r>
          </w:p>
        </w:tc>
        <w:tc>
          <w:tcPr>
            <w:tcW w:w="1559" w:type="dxa"/>
          </w:tcPr>
          <w:p w14:paraId="732428F8" w14:textId="728A5029" w:rsidR="008142F5" w:rsidRPr="001F5A16" w:rsidRDefault="008142F5" w:rsidP="00F153A1">
            <w:pPr>
              <w:overflowPunct/>
              <w:autoSpaceDE/>
              <w:autoSpaceDN/>
              <w:adjustRightInd/>
              <w:textAlignment w:val="auto"/>
              <w:rPr>
                <w:color w:val="000000"/>
                <w:kern w:val="24"/>
                <w:sz w:val="22"/>
                <w:szCs w:val="22"/>
                <w:lang w:eastAsia="en-GB"/>
              </w:rPr>
            </w:pPr>
            <w:r>
              <w:rPr>
                <w:color w:val="000000"/>
                <w:kern w:val="24"/>
                <w:sz w:val="22"/>
                <w:szCs w:val="22"/>
                <w:lang w:eastAsia="en-GB"/>
              </w:rPr>
              <w:t>PsA</w:t>
            </w:r>
          </w:p>
        </w:tc>
        <w:tc>
          <w:tcPr>
            <w:tcW w:w="1701" w:type="dxa"/>
          </w:tcPr>
          <w:p w14:paraId="4D449FA3" w14:textId="1FCAC9DB" w:rsidR="008142F5" w:rsidRPr="001F5A16" w:rsidRDefault="008142F5" w:rsidP="00F153A1">
            <w:pPr>
              <w:overflowPunct/>
              <w:autoSpaceDE/>
              <w:autoSpaceDN/>
              <w:adjustRightInd/>
              <w:textAlignment w:val="auto"/>
              <w:rPr>
                <w:color w:val="000000"/>
                <w:kern w:val="24"/>
                <w:sz w:val="22"/>
                <w:szCs w:val="22"/>
                <w:lang w:eastAsia="en-GB"/>
              </w:rPr>
            </w:pPr>
            <w:r>
              <w:rPr>
                <w:color w:val="000000"/>
                <w:kern w:val="24"/>
                <w:sz w:val="22"/>
                <w:szCs w:val="22"/>
                <w:lang w:eastAsia="en-GB"/>
              </w:rPr>
              <w:t>RA</w:t>
            </w:r>
          </w:p>
        </w:tc>
        <w:tc>
          <w:tcPr>
            <w:tcW w:w="1560" w:type="dxa"/>
          </w:tcPr>
          <w:p w14:paraId="68CF9605" w14:textId="250CA913" w:rsidR="008142F5" w:rsidRDefault="008142F5" w:rsidP="00F153A1">
            <w:pPr>
              <w:overflowPunct/>
              <w:autoSpaceDE/>
              <w:autoSpaceDN/>
              <w:adjustRightInd/>
              <w:textAlignment w:val="auto"/>
              <w:rPr>
                <w:sz w:val="22"/>
                <w:szCs w:val="22"/>
              </w:rPr>
            </w:pPr>
            <w:r>
              <w:rPr>
                <w:sz w:val="22"/>
                <w:szCs w:val="22"/>
              </w:rPr>
              <w:t>RA</w:t>
            </w:r>
          </w:p>
          <w:p w14:paraId="78A36782" w14:textId="1D80CD98" w:rsidR="008142F5" w:rsidRPr="00AB6659" w:rsidRDefault="008142F5" w:rsidP="00F153A1">
            <w:pPr>
              <w:overflowPunct/>
              <w:autoSpaceDE/>
              <w:autoSpaceDN/>
              <w:adjustRightInd/>
              <w:textAlignment w:val="auto"/>
              <w:rPr>
                <w:sz w:val="22"/>
                <w:szCs w:val="22"/>
              </w:rPr>
            </w:pPr>
            <w:r>
              <w:rPr>
                <w:sz w:val="22"/>
                <w:szCs w:val="22"/>
              </w:rPr>
              <w:t>PsA</w:t>
            </w:r>
            <w:r w:rsidR="008C77EF">
              <w:rPr>
                <w:sz w:val="22"/>
                <w:szCs w:val="22"/>
              </w:rPr>
              <w:t xml:space="preserve"> or if TNFi CI or failed after 12 weeks</w:t>
            </w:r>
          </w:p>
        </w:tc>
      </w:tr>
      <w:tr w:rsidR="008142F5" w:rsidRPr="001F5A16" w14:paraId="3DDD3752" w14:textId="77777777" w:rsidTr="00F153A1">
        <w:trPr>
          <w:trHeight w:val="766"/>
        </w:trPr>
        <w:tc>
          <w:tcPr>
            <w:tcW w:w="1271" w:type="dxa"/>
          </w:tcPr>
          <w:p w14:paraId="0FEC7D86" w14:textId="77777777" w:rsidR="008142F5" w:rsidRPr="001F5A16" w:rsidRDefault="008142F5" w:rsidP="00F153A1">
            <w:pPr>
              <w:overflowPunct/>
              <w:autoSpaceDE/>
              <w:autoSpaceDN/>
              <w:adjustRightInd/>
              <w:textAlignment w:val="auto"/>
              <w:rPr>
                <w:color w:val="000000"/>
                <w:kern w:val="24"/>
                <w:sz w:val="22"/>
                <w:szCs w:val="22"/>
                <w:lang w:eastAsia="en-GB"/>
              </w:rPr>
            </w:pPr>
            <w:r>
              <w:rPr>
                <w:color w:val="000000"/>
                <w:kern w:val="24"/>
                <w:sz w:val="22"/>
                <w:szCs w:val="22"/>
                <w:lang w:eastAsia="en-GB"/>
              </w:rPr>
              <w:t xml:space="preserve">NICE guidelines </w:t>
            </w:r>
          </w:p>
        </w:tc>
        <w:tc>
          <w:tcPr>
            <w:tcW w:w="1559" w:type="dxa"/>
          </w:tcPr>
          <w:p w14:paraId="7E98302E" w14:textId="04B820F3" w:rsidR="008142F5" w:rsidRPr="001F5A16" w:rsidRDefault="00323D19" w:rsidP="00F153A1">
            <w:pPr>
              <w:overflowPunct/>
              <w:autoSpaceDE/>
              <w:autoSpaceDN/>
              <w:adjustRightInd/>
              <w:textAlignment w:val="auto"/>
              <w:rPr>
                <w:color w:val="000000"/>
                <w:kern w:val="24"/>
                <w:sz w:val="22"/>
                <w:szCs w:val="22"/>
                <w:lang w:eastAsia="en-GB"/>
              </w:rPr>
            </w:pPr>
            <w:hyperlink r:id="rId53" w:history="1">
              <w:r w:rsidR="008142F5" w:rsidRPr="003178DF">
                <w:rPr>
                  <w:rStyle w:val="Hyperlink"/>
                  <w:kern w:val="24"/>
                  <w:sz w:val="22"/>
                  <w:szCs w:val="22"/>
                  <w:lang w:eastAsia="en-GB"/>
                </w:rPr>
                <w:t>TA433</w:t>
              </w:r>
            </w:hyperlink>
          </w:p>
        </w:tc>
        <w:tc>
          <w:tcPr>
            <w:tcW w:w="1701" w:type="dxa"/>
          </w:tcPr>
          <w:p w14:paraId="2F7D3EE3" w14:textId="3F2AD0A7" w:rsidR="008142F5" w:rsidRPr="001F5A16" w:rsidRDefault="00323D19" w:rsidP="00F153A1">
            <w:pPr>
              <w:overflowPunct/>
              <w:autoSpaceDE/>
              <w:autoSpaceDN/>
              <w:adjustRightInd/>
              <w:textAlignment w:val="auto"/>
              <w:rPr>
                <w:color w:val="000000"/>
                <w:kern w:val="24"/>
                <w:sz w:val="22"/>
                <w:szCs w:val="22"/>
                <w:lang w:eastAsia="en-GB"/>
              </w:rPr>
            </w:pPr>
            <w:hyperlink r:id="rId54" w:history="1">
              <w:r w:rsidR="008142F5" w:rsidRPr="008142F5">
                <w:rPr>
                  <w:rStyle w:val="Hyperlink"/>
                  <w:kern w:val="24"/>
                  <w:sz w:val="22"/>
                  <w:szCs w:val="22"/>
                  <w:lang w:eastAsia="en-GB"/>
                </w:rPr>
                <w:t>TA466</w:t>
              </w:r>
            </w:hyperlink>
          </w:p>
        </w:tc>
        <w:tc>
          <w:tcPr>
            <w:tcW w:w="1560" w:type="dxa"/>
          </w:tcPr>
          <w:p w14:paraId="077D45D2" w14:textId="16DF5B62" w:rsidR="008142F5" w:rsidRDefault="008142F5" w:rsidP="00F153A1">
            <w:pPr>
              <w:overflowPunct/>
              <w:autoSpaceDE/>
              <w:autoSpaceDN/>
              <w:adjustRightInd/>
              <w:textAlignment w:val="auto"/>
              <w:rPr>
                <w:sz w:val="22"/>
                <w:szCs w:val="22"/>
              </w:rPr>
            </w:pPr>
            <w:r>
              <w:rPr>
                <w:sz w:val="22"/>
                <w:szCs w:val="22"/>
              </w:rPr>
              <w:t xml:space="preserve">RA: </w:t>
            </w:r>
            <w:hyperlink r:id="rId55" w:history="1">
              <w:r w:rsidRPr="008142F5">
                <w:rPr>
                  <w:rStyle w:val="Hyperlink"/>
                  <w:sz w:val="22"/>
                  <w:szCs w:val="22"/>
                </w:rPr>
                <w:t>TA480</w:t>
              </w:r>
            </w:hyperlink>
          </w:p>
          <w:p w14:paraId="72E24CC6" w14:textId="5DE8FA36" w:rsidR="008142F5" w:rsidRDefault="008142F5" w:rsidP="00F153A1">
            <w:pPr>
              <w:overflowPunct/>
              <w:autoSpaceDE/>
              <w:autoSpaceDN/>
              <w:adjustRightInd/>
              <w:textAlignment w:val="auto"/>
              <w:rPr>
                <w:sz w:val="22"/>
                <w:szCs w:val="22"/>
              </w:rPr>
            </w:pPr>
            <w:r>
              <w:rPr>
                <w:sz w:val="22"/>
                <w:szCs w:val="22"/>
              </w:rPr>
              <w:t xml:space="preserve">PsA: </w:t>
            </w:r>
            <w:hyperlink r:id="rId56" w:history="1">
              <w:r w:rsidRPr="008142F5">
                <w:rPr>
                  <w:rStyle w:val="Hyperlink"/>
                  <w:sz w:val="22"/>
                  <w:szCs w:val="22"/>
                </w:rPr>
                <w:t>TA543</w:t>
              </w:r>
            </w:hyperlink>
          </w:p>
        </w:tc>
      </w:tr>
    </w:tbl>
    <w:p w14:paraId="4CD26BB0" w14:textId="77777777" w:rsidR="003178DF" w:rsidRDefault="003178DF" w:rsidP="003178DF">
      <w:pPr>
        <w:rPr>
          <w:lang w:eastAsia="en-GB"/>
        </w:rPr>
      </w:pPr>
    </w:p>
    <w:p w14:paraId="5757F115" w14:textId="77777777" w:rsidR="003178DF" w:rsidRDefault="003178DF" w:rsidP="003178DF">
      <w:pPr>
        <w:rPr>
          <w:lang w:eastAsia="en-GB"/>
        </w:rPr>
      </w:pPr>
    </w:p>
    <w:p w14:paraId="00B37D2B" w14:textId="77777777" w:rsidR="00F153A1" w:rsidRDefault="00F153A1" w:rsidP="00F153A1">
      <w:pPr>
        <w:rPr>
          <w:lang w:eastAsia="en-GB"/>
        </w:rPr>
      </w:pPr>
      <w:bookmarkStart w:id="20" w:name="_Toc531873932"/>
    </w:p>
    <w:p w14:paraId="00D58303" w14:textId="77777777" w:rsidR="00F153A1" w:rsidRDefault="00F153A1" w:rsidP="00F153A1">
      <w:pPr>
        <w:rPr>
          <w:lang w:eastAsia="en-GB"/>
        </w:rPr>
      </w:pPr>
    </w:p>
    <w:p w14:paraId="1A0FB9E6" w14:textId="77777777" w:rsidR="00F153A1" w:rsidRDefault="00F153A1" w:rsidP="00F153A1">
      <w:pPr>
        <w:rPr>
          <w:lang w:eastAsia="en-GB"/>
        </w:rPr>
      </w:pPr>
    </w:p>
    <w:p w14:paraId="685B672E" w14:textId="77777777" w:rsidR="00F153A1" w:rsidRDefault="00F153A1" w:rsidP="00F153A1">
      <w:pPr>
        <w:rPr>
          <w:lang w:eastAsia="en-GB"/>
        </w:rPr>
      </w:pPr>
    </w:p>
    <w:p w14:paraId="1592513A" w14:textId="77777777" w:rsidR="00F153A1" w:rsidRDefault="00F153A1" w:rsidP="00F153A1">
      <w:pPr>
        <w:rPr>
          <w:lang w:eastAsia="en-GB"/>
        </w:rPr>
      </w:pPr>
    </w:p>
    <w:p w14:paraId="2942E375" w14:textId="77777777" w:rsidR="00F153A1" w:rsidRDefault="00F153A1" w:rsidP="00F153A1">
      <w:pPr>
        <w:rPr>
          <w:lang w:eastAsia="en-GB"/>
        </w:rPr>
      </w:pPr>
    </w:p>
    <w:p w14:paraId="061CBAA0" w14:textId="77777777" w:rsidR="00F153A1" w:rsidRDefault="00F153A1" w:rsidP="00F153A1">
      <w:pPr>
        <w:rPr>
          <w:lang w:eastAsia="en-GB"/>
        </w:rPr>
      </w:pPr>
    </w:p>
    <w:p w14:paraId="17304BAB" w14:textId="77777777" w:rsidR="00F153A1" w:rsidRDefault="00F153A1" w:rsidP="00F153A1">
      <w:pPr>
        <w:rPr>
          <w:lang w:eastAsia="en-GB"/>
        </w:rPr>
      </w:pPr>
    </w:p>
    <w:p w14:paraId="32D393CC" w14:textId="77777777" w:rsidR="00F153A1" w:rsidRDefault="00F153A1" w:rsidP="00F153A1">
      <w:pPr>
        <w:rPr>
          <w:lang w:eastAsia="en-GB"/>
        </w:rPr>
      </w:pPr>
    </w:p>
    <w:p w14:paraId="79D9C72E" w14:textId="77777777" w:rsidR="00F153A1" w:rsidRDefault="00F153A1" w:rsidP="00F153A1">
      <w:pPr>
        <w:rPr>
          <w:lang w:eastAsia="en-GB"/>
        </w:rPr>
      </w:pPr>
    </w:p>
    <w:p w14:paraId="32BB3A41" w14:textId="77777777" w:rsidR="00F153A1" w:rsidRDefault="00F153A1" w:rsidP="00F153A1">
      <w:pPr>
        <w:rPr>
          <w:lang w:eastAsia="en-GB"/>
        </w:rPr>
      </w:pPr>
    </w:p>
    <w:p w14:paraId="53B6A3E8" w14:textId="77777777" w:rsidR="00F153A1" w:rsidRDefault="00F153A1" w:rsidP="00F153A1">
      <w:pPr>
        <w:rPr>
          <w:lang w:eastAsia="en-GB"/>
        </w:rPr>
      </w:pPr>
    </w:p>
    <w:p w14:paraId="20BAE263" w14:textId="77777777" w:rsidR="00F153A1" w:rsidRDefault="00F153A1" w:rsidP="00F153A1">
      <w:pPr>
        <w:rPr>
          <w:lang w:eastAsia="en-GB"/>
        </w:rPr>
      </w:pPr>
    </w:p>
    <w:p w14:paraId="3C8BA10B" w14:textId="77777777" w:rsidR="00F153A1" w:rsidRDefault="00F153A1" w:rsidP="00F153A1">
      <w:pPr>
        <w:rPr>
          <w:lang w:eastAsia="en-GB"/>
        </w:rPr>
      </w:pPr>
    </w:p>
    <w:p w14:paraId="53ADFBDC" w14:textId="77777777" w:rsidR="00F153A1" w:rsidRDefault="00F153A1" w:rsidP="00F153A1">
      <w:pPr>
        <w:rPr>
          <w:lang w:eastAsia="en-GB"/>
        </w:rPr>
      </w:pPr>
    </w:p>
    <w:p w14:paraId="54A41118" w14:textId="77777777" w:rsidR="00F153A1" w:rsidRDefault="00F153A1" w:rsidP="00F153A1">
      <w:pPr>
        <w:rPr>
          <w:lang w:eastAsia="en-GB"/>
        </w:rPr>
      </w:pPr>
    </w:p>
    <w:p w14:paraId="3530AE52" w14:textId="77777777" w:rsidR="00F153A1" w:rsidRDefault="00F153A1" w:rsidP="00F153A1">
      <w:pPr>
        <w:rPr>
          <w:lang w:eastAsia="en-GB"/>
        </w:rPr>
      </w:pPr>
    </w:p>
    <w:p w14:paraId="279C4925" w14:textId="77777777" w:rsidR="00F153A1" w:rsidRDefault="00F153A1" w:rsidP="00F153A1">
      <w:pPr>
        <w:rPr>
          <w:lang w:eastAsia="en-GB"/>
        </w:rPr>
      </w:pPr>
    </w:p>
    <w:p w14:paraId="63BB6196" w14:textId="77777777" w:rsidR="00F153A1" w:rsidRDefault="00F153A1" w:rsidP="00F153A1">
      <w:pPr>
        <w:rPr>
          <w:lang w:eastAsia="en-GB"/>
        </w:rPr>
      </w:pPr>
    </w:p>
    <w:p w14:paraId="269BB3CD" w14:textId="77777777" w:rsidR="00F153A1" w:rsidRDefault="00F153A1" w:rsidP="00F153A1">
      <w:pPr>
        <w:rPr>
          <w:lang w:eastAsia="en-GB"/>
        </w:rPr>
      </w:pPr>
    </w:p>
    <w:p w14:paraId="3E4D8010" w14:textId="77777777" w:rsidR="00F153A1" w:rsidRDefault="00F153A1" w:rsidP="00F153A1">
      <w:pPr>
        <w:rPr>
          <w:lang w:eastAsia="en-GB"/>
        </w:rPr>
      </w:pPr>
    </w:p>
    <w:p w14:paraId="3E36AF51" w14:textId="77777777" w:rsidR="00F153A1" w:rsidRDefault="00F153A1" w:rsidP="00F153A1">
      <w:pPr>
        <w:rPr>
          <w:lang w:eastAsia="en-GB"/>
        </w:rPr>
      </w:pPr>
    </w:p>
    <w:p w14:paraId="52F09788" w14:textId="77777777" w:rsidR="00F153A1" w:rsidRDefault="00F153A1" w:rsidP="00F153A1">
      <w:pPr>
        <w:rPr>
          <w:lang w:eastAsia="en-GB"/>
        </w:rPr>
      </w:pPr>
    </w:p>
    <w:p w14:paraId="7C697C39" w14:textId="465F76A8" w:rsidR="00EB43B1" w:rsidRPr="00524F06" w:rsidRDefault="00EB43B1" w:rsidP="00F153A1">
      <w:pPr>
        <w:pStyle w:val="Heading2"/>
        <w:jc w:val="left"/>
        <w:rPr>
          <w:lang w:eastAsia="en-GB"/>
        </w:rPr>
      </w:pPr>
      <w:r>
        <w:rPr>
          <w:lang w:eastAsia="en-GB"/>
        </w:rPr>
        <w:t>Biosimilars</w:t>
      </w:r>
      <w:bookmarkEnd w:id="20"/>
    </w:p>
    <w:p w14:paraId="16031A64" w14:textId="77777777" w:rsidR="00EB43B1" w:rsidRPr="000777E3" w:rsidRDefault="00EB43B1" w:rsidP="00884993">
      <w:pPr>
        <w:spacing w:line="360" w:lineRule="auto"/>
        <w:rPr>
          <w:rFonts w:cs="Arial"/>
        </w:rPr>
      </w:pPr>
    </w:p>
    <w:p w14:paraId="266FA264" w14:textId="77777777" w:rsidR="00B139C2" w:rsidRDefault="00B139C2" w:rsidP="00B139C2"/>
    <w:p w14:paraId="0AFB744C" w14:textId="77777777" w:rsidR="001113B5" w:rsidRDefault="001113B5">
      <w:pPr>
        <w:overflowPunct/>
        <w:autoSpaceDE/>
        <w:autoSpaceDN/>
        <w:adjustRightInd/>
        <w:spacing w:after="160" w:line="259" w:lineRule="auto"/>
        <w:textAlignment w:val="auto"/>
      </w:pPr>
      <w:r>
        <w:br w:type="page"/>
      </w:r>
    </w:p>
    <w:p w14:paraId="0B231DD4" w14:textId="77777777" w:rsidR="001113B5" w:rsidRDefault="001113B5" w:rsidP="00B139C2">
      <w:pPr>
        <w:sectPr w:rsidR="001113B5" w:rsidSect="008A4BD0">
          <w:type w:val="continuous"/>
          <w:pgSz w:w="11906" w:h="16838"/>
          <w:pgMar w:top="1440" w:right="1440" w:bottom="1440" w:left="1440" w:header="708" w:footer="708" w:gutter="0"/>
          <w:cols w:space="708"/>
          <w:docGrid w:linePitch="360"/>
        </w:sectPr>
      </w:pPr>
    </w:p>
    <w:p w14:paraId="136A688B" w14:textId="45E10008" w:rsidR="00B139C2" w:rsidRPr="003921D5" w:rsidRDefault="00B139C2" w:rsidP="00534A33">
      <w:pPr>
        <w:pStyle w:val="Heading2"/>
      </w:pPr>
      <w:bookmarkStart w:id="21" w:name="_Toc531873933"/>
      <w:r w:rsidRPr="003921D5">
        <w:lastRenderedPageBreak/>
        <w:t>Treatment with TNF inhibitors (safety issues)</w:t>
      </w:r>
      <w:bookmarkEnd w:id="21"/>
    </w:p>
    <w:p w14:paraId="74395849" w14:textId="77777777" w:rsidR="00B139C2" w:rsidRDefault="00B139C2" w:rsidP="00B139C2"/>
    <w:p w14:paraId="76D357B6" w14:textId="77777777" w:rsidR="004132B1" w:rsidRDefault="00B139C2" w:rsidP="00884993">
      <w:pPr>
        <w:spacing w:line="360" w:lineRule="auto"/>
        <w:rPr>
          <w:szCs w:val="24"/>
        </w:rPr>
      </w:pPr>
      <w:r w:rsidRPr="00884993">
        <w:rPr>
          <w:szCs w:val="24"/>
        </w:rPr>
        <w:t>Treatment fo</w:t>
      </w:r>
      <w:r w:rsidR="004132B1">
        <w:rPr>
          <w:szCs w:val="24"/>
        </w:rPr>
        <w:t xml:space="preserve">r patients with active RA, PsA </w:t>
      </w:r>
      <w:r w:rsidRPr="00884993">
        <w:rPr>
          <w:szCs w:val="24"/>
        </w:rPr>
        <w:t xml:space="preserve">or AS where NICE approval exists. </w:t>
      </w:r>
    </w:p>
    <w:p w14:paraId="216EE541" w14:textId="77777777" w:rsidR="004132B1" w:rsidRDefault="004132B1" w:rsidP="00884993">
      <w:pPr>
        <w:spacing w:line="360" w:lineRule="auto"/>
        <w:rPr>
          <w:szCs w:val="24"/>
        </w:rPr>
      </w:pPr>
    </w:p>
    <w:p w14:paraId="0841A1CA" w14:textId="40DC45C0" w:rsidR="007C1B93" w:rsidRDefault="007C1B93" w:rsidP="00884993">
      <w:pPr>
        <w:spacing w:line="360" w:lineRule="auto"/>
        <w:rPr>
          <w:szCs w:val="24"/>
        </w:rPr>
      </w:pPr>
      <w:r>
        <w:rPr>
          <w:szCs w:val="24"/>
        </w:rPr>
        <w:t>For RA:</w:t>
      </w:r>
    </w:p>
    <w:p w14:paraId="5D6CB861" w14:textId="4ADB758D" w:rsidR="007C1B93" w:rsidRDefault="007C1B93" w:rsidP="007C1B93">
      <w:pPr>
        <w:pStyle w:val="ListParagraph"/>
        <w:numPr>
          <w:ilvl w:val="0"/>
          <w:numId w:val="26"/>
        </w:numPr>
        <w:spacing w:line="360" w:lineRule="auto"/>
        <w:rPr>
          <w:szCs w:val="24"/>
        </w:rPr>
      </w:pPr>
      <w:r>
        <w:rPr>
          <w:szCs w:val="24"/>
        </w:rPr>
        <w:t>D</w:t>
      </w:r>
      <w:r w:rsidRPr="007C1B93">
        <w:rPr>
          <w:szCs w:val="24"/>
        </w:rPr>
        <w:t>isease is severe, that is, a disease activity score (DAS28) greater than 5.1</w:t>
      </w:r>
    </w:p>
    <w:p w14:paraId="60397444" w14:textId="41BD1DB7" w:rsidR="007C1B93" w:rsidRPr="007C1B93" w:rsidRDefault="007C1B93" w:rsidP="007C1B93">
      <w:pPr>
        <w:pStyle w:val="ListParagraph"/>
        <w:numPr>
          <w:ilvl w:val="0"/>
          <w:numId w:val="26"/>
        </w:numPr>
        <w:spacing w:line="360" w:lineRule="auto"/>
        <w:rPr>
          <w:szCs w:val="24"/>
        </w:rPr>
      </w:pPr>
      <w:r>
        <w:rPr>
          <w:szCs w:val="24"/>
        </w:rPr>
        <w:t>D</w:t>
      </w:r>
      <w:r w:rsidRPr="007C1B93">
        <w:rPr>
          <w:szCs w:val="24"/>
        </w:rPr>
        <w:t xml:space="preserve">isease has not responded to intensive therapy with a combination of </w:t>
      </w:r>
      <w:r>
        <w:rPr>
          <w:szCs w:val="24"/>
        </w:rPr>
        <w:t>csDMARDS</w:t>
      </w:r>
    </w:p>
    <w:p w14:paraId="6C99051F" w14:textId="77777777" w:rsidR="007C1B93" w:rsidRDefault="007C1B93" w:rsidP="00884993">
      <w:pPr>
        <w:spacing w:line="360" w:lineRule="auto"/>
        <w:rPr>
          <w:szCs w:val="24"/>
        </w:rPr>
      </w:pPr>
    </w:p>
    <w:p w14:paraId="682EA4AF" w14:textId="77777777" w:rsidR="00604B75" w:rsidRDefault="00604B75" w:rsidP="00884993">
      <w:pPr>
        <w:spacing w:line="360" w:lineRule="auto"/>
        <w:rPr>
          <w:szCs w:val="24"/>
        </w:rPr>
      </w:pPr>
      <w:r>
        <w:rPr>
          <w:szCs w:val="24"/>
        </w:rPr>
        <w:t>For PsA:</w:t>
      </w:r>
    </w:p>
    <w:p w14:paraId="3C507482" w14:textId="77777777" w:rsidR="00604B75" w:rsidRDefault="00604B75" w:rsidP="00D56B63">
      <w:pPr>
        <w:pStyle w:val="ListParagraph"/>
        <w:numPr>
          <w:ilvl w:val="0"/>
          <w:numId w:val="27"/>
        </w:numPr>
        <w:spacing w:line="360" w:lineRule="auto"/>
        <w:rPr>
          <w:szCs w:val="24"/>
        </w:rPr>
      </w:pPr>
      <w:r w:rsidRPr="00604B75">
        <w:rPr>
          <w:szCs w:val="24"/>
        </w:rPr>
        <w:t>The person has peripheral arthritis with 3 or more tender joints and 3 or more swollen joints</w:t>
      </w:r>
    </w:p>
    <w:p w14:paraId="24FE2DB7" w14:textId="1C10FFB2" w:rsidR="00604B75" w:rsidRDefault="00604B75" w:rsidP="00604B75">
      <w:pPr>
        <w:pStyle w:val="ListParagraph"/>
        <w:numPr>
          <w:ilvl w:val="0"/>
          <w:numId w:val="27"/>
        </w:numPr>
        <w:spacing w:line="360" w:lineRule="auto"/>
        <w:rPr>
          <w:szCs w:val="24"/>
        </w:rPr>
      </w:pPr>
      <w:r w:rsidRPr="00604B75">
        <w:rPr>
          <w:szCs w:val="24"/>
        </w:rPr>
        <w:t xml:space="preserve">The </w:t>
      </w:r>
      <w:r>
        <w:rPr>
          <w:szCs w:val="24"/>
        </w:rPr>
        <w:t>PsA</w:t>
      </w:r>
      <w:r w:rsidRPr="00604B75">
        <w:rPr>
          <w:szCs w:val="24"/>
        </w:rPr>
        <w:t xml:space="preserve"> has not responded to adequate trials of at least 2 </w:t>
      </w:r>
      <w:r>
        <w:rPr>
          <w:szCs w:val="24"/>
        </w:rPr>
        <w:t>cs</w:t>
      </w:r>
      <w:r w:rsidRPr="00604B75">
        <w:rPr>
          <w:szCs w:val="24"/>
        </w:rPr>
        <w:t>DMARDs, administered either individually or in combination.</w:t>
      </w:r>
    </w:p>
    <w:p w14:paraId="532E0948" w14:textId="220C938A" w:rsidR="00604B75" w:rsidRDefault="00604B75" w:rsidP="00604B75">
      <w:pPr>
        <w:spacing w:line="360" w:lineRule="auto"/>
        <w:rPr>
          <w:szCs w:val="24"/>
        </w:rPr>
      </w:pPr>
      <w:r>
        <w:rPr>
          <w:szCs w:val="24"/>
        </w:rPr>
        <w:t>For certolizumab:</w:t>
      </w:r>
    </w:p>
    <w:p w14:paraId="5784CB14" w14:textId="035EAF2A" w:rsidR="00604B75" w:rsidRPr="00604B75" w:rsidRDefault="00604B75" w:rsidP="00604B75">
      <w:pPr>
        <w:pStyle w:val="ListParagraph"/>
        <w:numPr>
          <w:ilvl w:val="0"/>
          <w:numId w:val="28"/>
        </w:numPr>
        <w:spacing w:line="360" w:lineRule="auto"/>
        <w:rPr>
          <w:szCs w:val="24"/>
        </w:rPr>
      </w:pPr>
      <w:r>
        <w:rPr>
          <w:szCs w:val="24"/>
        </w:rPr>
        <w:t xml:space="preserve">The person has had a TNFα-i </w:t>
      </w:r>
      <w:r w:rsidRPr="00604B75">
        <w:rPr>
          <w:szCs w:val="24"/>
        </w:rPr>
        <w:t>but their disease has stopped responding after the first 12 weeks.</w:t>
      </w:r>
    </w:p>
    <w:p w14:paraId="7DACDF15" w14:textId="77777777" w:rsidR="00604B75" w:rsidRDefault="00604B75" w:rsidP="00604B75">
      <w:pPr>
        <w:pStyle w:val="ListParagraph"/>
        <w:spacing w:line="360" w:lineRule="auto"/>
        <w:rPr>
          <w:szCs w:val="24"/>
        </w:rPr>
      </w:pPr>
    </w:p>
    <w:p w14:paraId="4B215AFF" w14:textId="77777777" w:rsidR="00855CD3" w:rsidRDefault="00855CD3" w:rsidP="00604B75">
      <w:pPr>
        <w:spacing w:line="360" w:lineRule="auto"/>
        <w:rPr>
          <w:szCs w:val="24"/>
        </w:rPr>
      </w:pPr>
      <w:r>
        <w:rPr>
          <w:szCs w:val="24"/>
        </w:rPr>
        <w:t>In AS:</w:t>
      </w:r>
    </w:p>
    <w:p w14:paraId="12C0DB68" w14:textId="6134F14A" w:rsidR="00F7512C" w:rsidRDefault="00F7512C" w:rsidP="00D56B63">
      <w:pPr>
        <w:pStyle w:val="ListParagraph"/>
        <w:numPr>
          <w:ilvl w:val="0"/>
          <w:numId w:val="28"/>
        </w:numPr>
        <w:spacing w:line="360" w:lineRule="auto"/>
        <w:rPr>
          <w:szCs w:val="24"/>
        </w:rPr>
      </w:pPr>
      <w:r>
        <w:t>Patients who have</w:t>
      </w:r>
      <w:r w:rsidR="00855CD3">
        <w:t xml:space="preserve"> responded inadequately to, or who cannot tolerate, nonsteroidal anti-inflammatory drugs</w:t>
      </w:r>
    </w:p>
    <w:p w14:paraId="135B2676" w14:textId="77777777" w:rsidR="00B8526D" w:rsidRDefault="00B8526D" w:rsidP="00F7512C">
      <w:pPr>
        <w:spacing w:line="360" w:lineRule="auto"/>
        <w:rPr>
          <w:szCs w:val="24"/>
        </w:rPr>
      </w:pPr>
    </w:p>
    <w:p w14:paraId="068A3EE1" w14:textId="48F5A8D7" w:rsidR="00F7512C" w:rsidRPr="00C63F80" w:rsidRDefault="00F7512C" w:rsidP="00F7512C">
      <w:pPr>
        <w:spacing w:line="360" w:lineRule="auto"/>
        <w:rPr>
          <w:b/>
          <w:szCs w:val="24"/>
        </w:rPr>
      </w:pPr>
      <w:r w:rsidRPr="00C63F80">
        <w:rPr>
          <w:b/>
          <w:szCs w:val="24"/>
        </w:rPr>
        <w:t>To continue with biologics</w:t>
      </w:r>
    </w:p>
    <w:p w14:paraId="1685BEE7" w14:textId="07A66A7C" w:rsidR="00F7512C" w:rsidRDefault="00F7512C" w:rsidP="00F7512C">
      <w:pPr>
        <w:spacing w:line="360" w:lineRule="auto"/>
        <w:rPr>
          <w:szCs w:val="24"/>
        </w:rPr>
      </w:pPr>
    </w:p>
    <w:p w14:paraId="164FB94B" w14:textId="1AFA0F1A" w:rsidR="00F7512C" w:rsidRDefault="00F7512C" w:rsidP="00F7512C">
      <w:pPr>
        <w:spacing w:line="360" w:lineRule="auto"/>
        <w:rPr>
          <w:szCs w:val="24"/>
        </w:rPr>
      </w:pPr>
      <w:r>
        <w:rPr>
          <w:szCs w:val="24"/>
        </w:rPr>
        <w:t>For RA:</w:t>
      </w:r>
    </w:p>
    <w:p w14:paraId="06220748" w14:textId="7381F1C5" w:rsidR="00F7512C" w:rsidRPr="00F7512C" w:rsidRDefault="00F7512C" w:rsidP="00F7512C">
      <w:pPr>
        <w:pStyle w:val="ListParagraph"/>
        <w:numPr>
          <w:ilvl w:val="0"/>
          <w:numId w:val="28"/>
        </w:numPr>
        <w:spacing w:line="360" w:lineRule="auto"/>
        <w:rPr>
          <w:szCs w:val="24"/>
        </w:rPr>
      </w:pPr>
      <w:r>
        <w:t xml:space="preserve">At 6 months if there is a moderate response measured using EULAR criteria </w:t>
      </w:r>
    </w:p>
    <w:p w14:paraId="3971C83C" w14:textId="03DE0EAE" w:rsidR="00F7512C" w:rsidRDefault="00F7512C" w:rsidP="00F7512C">
      <w:pPr>
        <w:spacing w:line="360" w:lineRule="auto"/>
        <w:rPr>
          <w:szCs w:val="24"/>
        </w:rPr>
      </w:pPr>
      <w:r>
        <w:rPr>
          <w:szCs w:val="24"/>
        </w:rPr>
        <w:t>For PsA:</w:t>
      </w:r>
    </w:p>
    <w:p w14:paraId="78E5E3BA" w14:textId="12D3F85C" w:rsidR="00F7512C" w:rsidRPr="00F7512C" w:rsidRDefault="00F7512C" w:rsidP="00F7512C">
      <w:pPr>
        <w:pStyle w:val="ListParagraph"/>
        <w:numPr>
          <w:ilvl w:val="0"/>
          <w:numId w:val="28"/>
        </w:numPr>
        <w:spacing w:line="360" w:lineRule="auto"/>
        <w:rPr>
          <w:szCs w:val="24"/>
        </w:rPr>
      </w:pPr>
      <w:r>
        <w:t>At 12 weeks (for cetolizumab also 16 weeks): an improvement in at least 2 of the 4 PsARC criteria (1 of which has to be joint tenderness or swelling score), with no worsening in any of the 4 criteria</w:t>
      </w:r>
    </w:p>
    <w:p w14:paraId="68EBA4DB" w14:textId="385716AF" w:rsidR="00F7512C" w:rsidRDefault="00F7512C" w:rsidP="00F7512C">
      <w:pPr>
        <w:spacing w:line="360" w:lineRule="auto"/>
        <w:rPr>
          <w:szCs w:val="24"/>
        </w:rPr>
      </w:pPr>
      <w:r>
        <w:rPr>
          <w:szCs w:val="24"/>
        </w:rPr>
        <w:t>For AS</w:t>
      </w:r>
      <w:r w:rsidR="00B8526D">
        <w:rPr>
          <w:szCs w:val="24"/>
        </w:rPr>
        <w:t>:</w:t>
      </w:r>
    </w:p>
    <w:p w14:paraId="434A2247" w14:textId="2626B17C" w:rsidR="00F7512C" w:rsidRPr="00F7512C" w:rsidRDefault="00B8526D" w:rsidP="00F7512C">
      <w:pPr>
        <w:pStyle w:val="ListParagraph"/>
        <w:numPr>
          <w:ilvl w:val="0"/>
          <w:numId w:val="28"/>
        </w:numPr>
        <w:spacing w:line="360" w:lineRule="auto"/>
        <w:rPr>
          <w:szCs w:val="24"/>
        </w:rPr>
      </w:pPr>
      <w:r>
        <w:rPr>
          <w:szCs w:val="24"/>
        </w:rPr>
        <w:t>At 12 weeks: a</w:t>
      </w:r>
      <w:r w:rsidR="00F7512C" w:rsidRPr="00F7512C">
        <w:rPr>
          <w:szCs w:val="24"/>
        </w:rPr>
        <w:t xml:space="preserve"> reduction in the </w:t>
      </w:r>
      <w:r w:rsidR="002103F9">
        <w:rPr>
          <w:szCs w:val="24"/>
        </w:rPr>
        <w:t>BASDAI</w:t>
      </w:r>
      <w:r w:rsidR="00F7512C" w:rsidRPr="00F7512C">
        <w:rPr>
          <w:szCs w:val="24"/>
        </w:rPr>
        <w:t xml:space="preserve"> score to 50% of pre-treatment value or </w:t>
      </w:r>
      <w:r w:rsidR="002103F9">
        <w:rPr>
          <w:szCs w:val="24"/>
        </w:rPr>
        <w:t xml:space="preserve">≥2 </w:t>
      </w:r>
      <w:r w:rsidR="00F7512C" w:rsidRPr="00F7512C">
        <w:rPr>
          <w:szCs w:val="24"/>
        </w:rPr>
        <w:t>units and</w:t>
      </w:r>
    </w:p>
    <w:p w14:paraId="1F4EE5A2" w14:textId="3695BF82" w:rsidR="00F7512C" w:rsidRPr="00F7512C" w:rsidRDefault="00F7512C" w:rsidP="00F7512C">
      <w:pPr>
        <w:pStyle w:val="ListParagraph"/>
        <w:numPr>
          <w:ilvl w:val="0"/>
          <w:numId w:val="28"/>
        </w:numPr>
        <w:spacing w:line="360" w:lineRule="auto"/>
        <w:rPr>
          <w:szCs w:val="24"/>
        </w:rPr>
      </w:pPr>
      <w:r>
        <w:rPr>
          <w:szCs w:val="24"/>
        </w:rPr>
        <w:t>A</w:t>
      </w:r>
      <w:r w:rsidRPr="00F7512C">
        <w:rPr>
          <w:szCs w:val="24"/>
        </w:rPr>
        <w:t xml:space="preserve"> reduction in the spinal pain </w:t>
      </w:r>
      <w:r w:rsidR="002103F9">
        <w:rPr>
          <w:szCs w:val="24"/>
        </w:rPr>
        <w:t>VAS</w:t>
      </w:r>
      <w:r w:rsidR="00B8526D">
        <w:rPr>
          <w:szCs w:val="24"/>
        </w:rPr>
        <w:t xml:space="preserve"> score by ≥2 cm </w:t>
      </w:r>
    </w:p>
    <w:p w14:paraId="42D1F154" w14:textId="77777777" w:rsidR="00F7512C" w:rsidRDefault="00F7512C" w:rsidP="00F7512C">
      <w:pPr>
        <w:spacing w:line="360" w:lineRule="auto"/>
        <w:rPr>
          <w:szCs w:val="24"/>
        </w:rPr>
      </w:pPr>
    </w:p>
    <w:p w14:paraId="3F2E1651" w14:textId="4BEE0D8A" w:rsidR="00B139C2" w:rsidRPr="00F7512C" w:rsidRDefault="00B139C2" w:rsidP="00F7512C">
      <w:pPr>
        <w:spacing w:line="360" w:lineRule="auto"/>
        <w:rPr>
          <w:szCs w:val="24"/>
        </w:rPr>
      </w:pPr>
      <w:r w:rsidRPr="00F7512C">
        <w:rPr>
          <w:szCs w:val="24"/>
        </w:rPr>
        <w:lastRenderedPageBreak/>
        <w:br/>
        <w:t>1) General contraindications (discuss with relevant specialist)</w:t>
      </w:r>
    </w:p>
    <w:p w14:paraId="661AF9D7" w14:textId="77777777" w:rsidR="00B139C2" w:rsidRPr="00884993" w:rsidRDefault="00B139C2" w:rsidP="00884993">
      <w:pPr>
        <w:spacing w:line="360" w:lineRule="auto"/>
        <w:rPr>
          <w:szCs w:val="24"/>
        </w:rPr>
      </w:pPr>
      <w:r w:rsidRPr="00884993">
        <w:rPr>
          <w:szCs w:val="24"/>
        </w:rPr>
        <w:tab/>
        <w:t>Pregnancy / Breastfeeding  (though early data is very reassuring)</w:t>
      </w:r>
    </w:p>
    <w:p w14:paraId="33EF93D5" w14:textId="77777777" w:rsidR="00B139C2" w:rsidRPr="00884993" w:rsidRDefault="00B139C2" w:rsidP="00884993">
      <w:pPr>
        <w:spacing w:line="360" w:lineRule="auto"/>
        <w:rPr>
          <w:szCs w:val="24"/>
        </w:rPr>
      </w:pPr>
      <w:r w:rsidRPr="00884993">
        <w:rPr>
          <w:szCs w:val="24"/>
        </w:rPr>
        <w:tab/>
        <w:t xml:space="preserve">Active infection  </w:t>
      </w:r>
    </w:p>
    <w:p w14:paraId="09072D58" w14:textId="77777777" w:rsidR="00B139C2" w:rsidRPr="00884993" w:rsidRDefault="00B139C2" w:rsidP="00884993">
      <w:pPr>
        <w:spacing w:line="360" w:lineRule="auto"/>
        <w:ind w:firstLine="720"/>
        <w:rPr>
          <w:szCs w:val="24"/>
        </w:rPr>
      </w:pPr>
      <w:r w:rsidRPr="00884993">
        <w:rPr>
          <w:szCs w:val="24"/>
        </w:rPr>
        <w:t>Open leg ulcers</w:t>
      </w:r>
    </w:p>
    <w:p w14:paraId="73635013" w14:textId="77777777" w:rsidR="00B139C2" w:rsidRPr="00884993" w:rsidRDefault="00B139C2" w:rsidP="00884993">
      <w:pPr>
        <w:spacing w:line="360" w:lineRule="auto"/>
        <w:rPr>
          <w:szCs w:val="24"/>
        </w:rPr>
      </w:pPr>
      <w:r w:rsidRPr="00884993">
        <w:rPr>
          <w:szCs w:val="24"/>
        </w:rPr>
        <w:tab/>
        <w:t>Previously infected prosthetic joint (unless completely removed)</w:t>
      </w:r>
    </w:p>
    <w:p w14:paraId="4403D134" w14:textId="77777777" w:rsidR="00B139C2" w:rsidRPr="00884993" w:rsidRDefault="00B139C2" w:rsidP="00884993">
      <w:pPr>
        <w:spacing w:line="360" w:lineRule="auto"/>
        <w:rPr>
          <w:szCs w:val="24"/>
        </w:rPr>
      </w:pPr>
      <w:r w:rsidRPr="00884993">
        <w:rPr>
          <w:szCs w:val="24"/>
        </w:rPr>
        <w:tab/>
        <w:t xml:space="preserve">Septic arthritis in last year  </w:t>
      </w:r>
    </w:p>
    <w:p w14:paraId="617D8BBC" w14:textId="77777777" w:rsidR="00B139C2" w:rsidRPr="00884993" w:rsidRDefault="00B139C2" w:rsidP="00884993">
      <w:pPr>
        <w:spacing w:line="360" w:lineRule="auto"/>
        <w:rPr>
          <w:szCs w:val="24"/>
        </w:rPr>
      </w:pPr>
      <w:r w:rsidRPr="00884993">
        <w:rPr>
          <w:szCs w:val="24"/>
        </w:rPr>
        <w:tab/>
        <w:t>HIV or Hepatitis B carriers (usually)</w:t>
      </w:r>
    </w:p>
    <w:p w14:paraId="28668EF4" w14:textId="77777777" w:rsidR="00B139C2" w:rsidRPr="00884993" w:rsidRDefault="00B139C2" w:rsidP="00884993">
      <w:pPr>
        <w:spacing w:line="360" w:lineRule="auto"/>
        <w:rPr>
          <w:szCs w:val="24"/>
        </w:rPr>
      </w:pPr>
      <w:r w:rsidRPr="00884993">
        <w:rPr>
          <w:szCs w:val="24"/>
        </w:rPr>
        <w:tab/>
        <w:t>Previous malignancy within 5 years (usually)</w:t>
      </w:r>
    </w:p>
    <w:p w14:paraId="0186F073" w14:textId="77777777" w:rsidR="00B139C2" w:rsidRPr="00884993" w:rsidRDefault="00B139C2" w:rsidP="00884993">
      <w:pPr>
        <w:spacing w:line="360" w:lineRule="auto"/>
        <w:rPr>
          <w:szCs w:val="24"/>
        </w:rPr>
      </w:pPr>
      <w:r w:rsidRPr="00884993">
        <w:rPr>
          <w:szCs w:val="24"/>
        </w:rPr>
        <w:tab/>
        <w:t>NYHA Grade 3 or more heart failure</w:t>
      </w:r>
    </w:p>
    <w:p w14:paraId="30C31C08" w14:textId="77777777" w:rsidR="00B139C2" w:rsidRPr="00884993" w:rsidRDefault="00B139C2" w:rsidP="00884993">
      <w:pPr>
        <w:spacing w:line="360" w:lineRule="auto"/>
        <w:rPr>
          <w:szCs w:val="24"/>
        </w:rPr>
      </w:pPr>
      <w:r w:rsidRPr="00884993">
        <w:rPr>
          <w:szCs w:val="24"/>
        </w:rPr>
        <w:tab/>
        <w:t>Any history of demyelinating disease</w:t>
      </w:r>
    </w:p>
    <w:p w14:paraId="481737D9" w14:textId="77777777" w:rsidR="00B139C2" w:rsidRPr="00884993" w:rsidRDefault="00B139C2" w:rsidP="00884993">
      <w:pPr>
        <w:spacing w:line="360" w:lineRule="auto"/>
        <w:rPr>
          <w:szCs w:val="24"/>
        </w:rPr>
      </w:pPr>
    </w:p>
    <w:p w14:paraId="3DC6561D" w14:textId="77777777" w:rsidR="00B139C2" w:rsidRPr="00884993" w:rsidRDefault="00B139C2" w:rsidP="00884993">
      <w:pPr>
        <w:spacing w:line="360" w:lineRule="auto"/>
        <w:rPr>
          <w:szCs w:val="24"/>
        </w:rPr>
      </w:pPr>
      <w:r w:rsidRPr="00884993">
        <w:rPr>
          <w:szCs w:val="24"/>
        </w:rPr>
        <w:t>2) Relative contraindications</w:t>
      </w:r>
    </w:p>
    <w:p w14:paraId="7CE26342" w14:textId="77777777" w:rsidR="00B139C2" w:rsidRPr="00884993" w:rsidRDefault="00B139C2" w:rsidP="00884993">
      <w:pPr>
        <w:spacing w:line="360" w:lineRule="auto"/>
        <w:rPr>
          <w:szCs w:val="24"/>
        </w:rPr>
      </w:pPr>
      <w:r w:rsidRPr="00884993">
        <w:rPr>
          <w:szCs w:val="24"/>
        </w:rPr>
        <w:tab/>
        <w:t>Uncontrolled diabetes</w:t>
      </w:r>
    </w:p>
    <w:p w14:paraId="1406DB2F" w14:textId="77777777" w:rsidR="00B139C2" w:rsidRPr="00884993" w:rsidRDefault="00B139C2" w:rsidP="00884993">
      <w:pPr>
        <w:spacing w:line="360" w:lineRule="auto"/>
        <w:rPr>
          <w:szCs w:val="24"/>
        </w:rPr>
      </w:pPr>
      <w:r w:rsidRPr="00884993">
        <w:rPr>
          <w:szCs w:val="24"/>
        </w:rPr>
        <w:tab/>
        <w:t>Pulmonary fibrosis</w:t>
      </w:r>
    </w:p>
    <w:p w14:paraId="66134575" w14:textId="77777777" w:rsidR="00B139C2" w:rsidRPr="00884993" w:rsidRDefault="00B139C2" w:rsidP="00884993">
      <w:pPr>
        <w:spacing w:line="360" w:lineRule="auto"/>
        <w:rPr>
          <w:szCs w:val="24"/>
        </w:rPr>
      </w:pPr>
      <w:r w:rsidRPr="00884993">
        <w:rPr>
          <w:szCs w:val="24"/>
        </w:rPr>
        <w:tab/>
        <w:t>Bronchiectasis (assess severity)</w:t>
      </w:r>
    </w:p>
    <w:p w14:paraId="0C5C79DD" w14:textId="77777777" w:rsidR="00B139C2" w:rsidRPr="00884993" w:rsidRDefault="00B139C2" w:rsidP="00884993">
      <w:pPr>
        <w:spacing w:line="360" w:lineRule="auto"/>
        <w:rPr>
          <w:szCs w:val="24"/>
        </w:rPr>
      </w:pPr>
      <w:r w:rsidRPr="00884993">
        <w:rPr>
          <w:szCs w:val="24"/>
        </w:rPr>
        <w:tab/>
        <w:t>PUVA therapy of &gt;1000 Joules</w:t>
      </w:r>
    </w:p>
    <w:p w14:paraId="52BBDD63" w14:textId="77777777" w:rsidR="00B139C2" w:rsidRPr="00884993" w:rsidRDefault="00B139C2" w:rsidP="00884993">
      <w:pPr>
        <w:spacing w:line="360" w:lineRule="auto"/>
        <w:rPr>
          <w:szCs w:val="24"/>
        </w:rPr>
      </w:pPr>
      <w:r w:rsidRPr="00884993">
        <w:rPr>
          <w:szCs w:val="24"/>
        </w:rPr>
        <w:tab/>
        <w:t>Hepatitis C  (absolute if RNA +ve)</w:t>
      </w:r>
    </w:p>
    <w:p w14:paraId="0C291175" w14:textId="77777777" w:rsidR="00B139C2" w:rsidRPr="00884993" w:rsidRDefault="00B139C2" w:rsidP="00884993">
      <w:pPr>
        <w:spacing w:line="360" w:lineRule="auto"/>
        <w:ind w:firstLine="720"/>
        <w:rPr>
          <w:szCs w:val="24"/>
        </w:rPr>
      </w:pPr>
      <w:r w:rsidRPr="00884993">
        <w:rPr>
          <w:szCs w:val="24"/>
        </w:rPr>
        <w:t>NYHA heart failure grade 1 or 2</w:t>
      </w:r>
    </w:p>
    <w:p w14:paraId="1E8F7DF6" w14:textId="77777777" w:rsidR="00B139C2" w:rsidRPr="00884993" w:rsidRDefault="00B139C2" w:rsidP="00884993">
      <w:pPr>
        <w:spacing w:line="360" w:lineRule="auto"/>
        <w:ind w:left="720"/>
        <w:rPr>
          <w:szCs w:val="24"/>
        </w:rPr>
      </w:pPr>
      <w:r w:rsidRPr="00884993">
        <w:rPr>
          <w:szCs w:val="24"/>
        </w:rPr>
        <w:t>History of TB or positive PPD test (consider using etanercept +</w:t>
      </w:r>
    </w:p>
    <w:p w14:paraId="01E012A6" w14:textId="77777777" w:rsidR="00B139C2" w:rsidRPr="00884993" w:rsidRDefault="00B139C2" w:rsidP="00884993">
      <w:pPr>
        <w:spacing w:line="360" w:lineRule="auto"/>
        <w:ind w:firstLine="720"/>
        <w:rPr>
          <w:szCs w:val="24"/>
        </w:rPr>
      </w:pPr>
      <w:r w:rsidRPr="00884993">
        <w:rPr>
          <w:szCs w:val="24"/>
        </w:rPr>
        <w:t>isoniazid and pyridoxine one month before starting and for</w:t>
      </w:r>
    </w:p>
    <w:p w14:paraId="0C381A56" w14:textId="77777777" w:rsidR="00B139C2" w:rsidRPr="00884993" w:rsidRDefault="00B139C2" w:rsidP="00884993">
      <w:pPr>
        <w:spacing w:line="360" w:lineRule="auto"/>
        <w:ind w:firstLine="720"/>
        <w:rPr>
          <w:szCs w:val="24"/>
        </w:rPr>
      </w:pPr>
      <w:r w:rsidRPr="00884993">
        <w:rPr>
          <w:szCs w:val="24"/>
        </w:rPr>
        <w:t>further 6 months)</w:t>
      </w:r>
    </w:p>
    <w:p w14:paraId="5F571947" w14:textId="77777777" w:rsidR="00B139C2" w:rsidRPr="00884993" w:rsidRDefault="00B139C2" w:rsidP="00884993">
      <w:pPr>
        <w:spacing w:line="360" w:lineRule="auto"/>
        <w:rPr>
          <w:szCs w:val="24"/>
        </w:rPr>
      </w:pPr>
    </w:p>
    <w:p w14:paraId="2B71A6EE" w14:textId="77777777" w:rsidR="00B139C2" w:rsidRPr="00884993" w:rsidRDefault="00B139C2" w:rsidP="00884993">
      <w:pPr>
        <w:spacing w:line="360" w:lineRule="auto"/>
        <w:rPr>
          <w:szCs w:val="24"/>
        </w:rPr>
      </w:pPr>
      <w:r w:rsidRPr="00884993">
        <w:rPr>
          <w:szCs w:val="24"/>
        </w:rPr>
        <w:t>3) Potential Problems</w:t>
      </w:r>
    </w:p>
    <w:p w14:paraId="421DC377" w14:textId="77777777" w:rsidR="00B139C2" w:rsidRPr="00884993" w:rsidRDefault="00B139C2" w:rsidP="00884993">
      <w:pPr>
        <w:spacing w:line="360" w:lineRule="auto"/>
        <w:rPr>
          <w:szCs w:val="24"/>
        </w:rPr>
      </w:pPr>
      <w:r w:rsidRPr="00884993">
        <w:rPr>
          <w:szCs w:val="24"/>
        </w:rPr>
        <w:tab/>
        <w:t>Atypical or unusual infections</w:t>
      </w:r>
    </w:p>
    <w:p w14:paraId="0AE07F41" w14:textId="77777777" w:rsidR="00B139C2" w:rsidRPr="00884993" w:rsidRDefault="00B139C2" w:rsidP="00884993">
      <w:pPr>
        <w:spacing w:line="360" w:lineRule="auto"/>
        <w:rPr>
          <w:szCs w:val="24"/>
        </w:rPr>
      </w:pPr>
      <w:r w:rsidRPr="00884993">
        <w:rPr>
          <w:szCs w:val="24"/>
        </w:rPr>
        <w:tab/>
        <w:t>Neutropenia / aplasia</w:t>
      </w:r>
    </w:p>
    <w:p w14:paraId="617E9DFA" w14:textId="77777777" w:rsidR="00B139C2" w:rsidRPr="00884993" w:rsidRDefault="00B139C2" w:rsidP="00884993">
      <w:pPr>
        <w:spacing w:line="360" w:lineRule="auto"/>
        <w:rPr>
          <w:szCs w:val="24"/>
        </w:rPr>
      </w:pPr>
      <w:r w:rsidRPr="00884993">
        <w:rPr>
          <w:szCs w:val="24"/>
        </w:rPr>
        <w:tab/>
        <w:t>Pneumonitis / lung fibrosis</w:t>
      </w:r>
      <w:r w:rsidRPr="00884993">
        <w:rPr>
          <w:szCs w:val="24"/>
        </w:rPr>
        <w:tab/>
      </w:r>
    </w:p>
    <w:p w14:paraId="517F76F5" w14:textId="77777777" w:rsidR="00B139C2" w:rsidRPr="00884993" w:rsidRDefault="00B139C2" w:rsidP="00884993">
      <w:pPr>
        <w:spacing w:line="360" w:lineRule="auto"/>
        <w:rPr>
          <w:szCs w:val="24"/>
        </w:rPr>
      </w:pPr>
      <w:r w:rsidRPr="00884993">
        <w:rPr>
          <w:szCs w:val="24"/>
        </w:rPr>
        <w:tab/>
        <w:t xml:space="preserve">Infusion / injection site reactions </w:t>
      </w:r>
    </w:p>
    <w:p w14:paraId="22036781" w14:textId="1DEC19DF" w:rsidR="00B139C2" w:rsidRPr="00884993" w:rsidRDefault="00B139C2" w:rsidP="00884993">
      <w:pPr>
        <w:spacing w:line="360" w:lineRule="auto"/>
        <w:rPr>
          <w:szCs w:val="24"/>
        </w:rPr>
      </w:pPr>
      <w:r w:rsidRPr="00884993">
        <w:rPr>
          <w:szCs w:val="24"/>
        </w:rPr>
        <w:tab/>
        <w:t>ANA or DNA positivity (especially infliximab)</w:t>
      </w:r>
      <w:r w:rsidR="00D12A10">
        <w:rPr>
          <w:szCs w:val="24"/>
        </w:rPr>
        <w:t>, although not usually associated with a clinical problem</w:t>
      </w:r>
    </w:p>
    <w:p w14:paraId="77A672D0" w14:textId="77777777" w:rsidR="00B139C2" w:rsidRPr="00884993" w:rsidRDefault="00B139C2" w:rsidP="00884993">
      <w:pPr>
        <w:spacing w:line="360" w:lineRule="auto"/>
        <w:rPr>
          <w:szCs w:val="24"/>
        </w:rPr>
      </w:pPr>
      <w:r w:rsidRPr="00884993">
        <w:rPr>
          <w:szCs w:val="24"/>
        </w:rPr>
        <w:tab/>
        <w:t>Induction of autoimmunity</w:t>
      </w:r>
    </w:p>
    <w:p w14:paraId="478F832F" w14:textId="77777777" w:rsidR="00B139C2" w:rsidRPr="00884993" w:rsidRDefault="00B139C2" w:rsidP="00884993">
      <w:pPr>
        <w:spacing w:line="360" w:lineRule="auto"/>
        <w:rPr>
          <w:szCs w:val="24"/>
        </w:rPr>
      </w:pPr>
      <w:r w:rsidRPr="00884993">
        <w:rPr>
          <w:szCs w:val="24"/>
        </w:rPr>
        <w:tab/>
        <w:t>Interaction with anikinra</w:t>
      </w:r>
    </w:p>
    <w:p w14:paraId="67A87205" w14:textId="0A7D8121" w:rsidR="00884993" w:rsidRDefault="00B139C2" w:rsidP="00884993">
      <w:pPr>
        <w:spacing w:line="360" w:lineRule="auto"/>
        <w:rPr>
          <w:b/>
          <w:szCs w:val="24"/>
        </w:rPr>
      </w:pPr>
      <w:r w:rsidRPr="00884993">
        <w:rPr>
          <w:szCs w:val="24"/>
        </w:rPr>
        <w:tab/>
      </w:r>
      <w:r w:rsidRPr="00884993">
        <w:rPr>
          <w:b/>
          <w:szCs w:val="24"/>
        </w:rPr>
        <w:t>AVOID Live Vaccines ( SEE VACCINES SECTION)</w:t>
      </w:r>
    </w:p>
    <w:p w14:paraId="0BCF755B" w14:textId="3A1CC1D0" w:rsidR="00884993" w:rsidRDefault="00884993" w:rsidP="0021426B">
      <w:pPr>
        <w:pStyle w:val="Heading2"/>
        <w:rPr>
          <w:szCs w:val="24"/>
        </w:rPr>
      </w:pPr>
      <w:r>
        <w:rPr>
          <w:szCs w:val="24"/>
        </w:rPr>
        <w:br w:type="page"/>
      </w:r>
      <w:bookmarkStart w:id="22" w:name="_Toc531873934"/>
      <w:r w:rsidR="0021426B" w:rsidRPr="008770BB">
        <w:lastRenderedPageBreak/>
        <w:t>Abatacept</w:t>
      </w:r>
      <w:r w:rsidR="0021426B" w:rsidRPr="000B5112">
        <w:t xml:space="preserve"> </w:t>
      </w:r>
      <w:r w:rsidR="0021426B" w:rsidRPr="008770BB">
        <w:t>(Orencia®)</w:t>
      </w:r>
      <w:bookmarkEnd w:id="22"/>
    </w:p>
    <w:p w14:paraId="442B22C0" w14:textId="3B345BC1" w:rsidR="00B139C2" w:rsidRDefault="00B139C2" w:rsidP="00B139C2">
      <w:pPr>
        <w:framePr w:hSpace="180" w:wrap="around" w:hAnchor="margin" w:xAlign="center" w:y="-290"/>
        <w:rPr>
          <w:b/>
          <w:sz w:val="28"/>
        </w:rPr>
      </w:pPr>
    </w:p>
    <w:p w14:paraId="011265EF" w14:textId="1796C641" w:rsidR="00B139C2" w:rsidRDefault="00B139C2" w:rsidP="00941ACA"/>
    <w:tbl>
      <w:tblPr>
        <w:tblpPr w:leftFromText="180" w:rightFromText="180" w:vertAnchor="page" w:horzAnchor="margin" w:tblpY="223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5601"/>
      </w:tblGrid>
      <w:tr w:rsidR="0021426B" w:rsidRPr="00884993" w14:paraId="3AFFAA26" w14:textId="77777777" w:rsidTr="0021426B">
        <w:trPr>
          <w:trHeight w:val="480"/>
        </w:trPr>
        <w:tc>
          <w:tcPr>
            <w:tcW w:w="3679" w:type="dxa"/>
            <w:shd w:val="clear" w:color="auto" w:fill="CCFFFF"/>
          </w:tcPr>
          <w:p w14:paraId="0D31C125" w14:textId="77777777" w:rsidR="0021426B" w:rsidRPr="00884993" w:rsidRDefault="0021426B" w:rsidP="0021426B">
            <w:pPr>
              <w:rPr>
                <w:sz w:val="22"/>
                <w:szCs w:val="22"/>
              </w:rPr>
            </w:pPr>
            <w:r w:rsidRPr="00884993">
              <w:rPr>
                <w:sz w:val="22"/>
                <w:szCs w:val="22"/>
              </w:rPr>
              <w:t>Therapeutic class:</w:t>
            </w:r>
          </w:p>
        </w:tc>
        <w:tc>
          <w:tcPr>
            <w:tcW w:w="5337" w:type="dxa"/>
            <w:shd w:val="clear" w:color="auto" w:fill="auto"/>
          </w:tcPr>
          <w:p w14:paraId="48CB516D" w14:textId="77777777" w:rsidR="0021426B" w:rsidRPr="00884993" w:rsidRDefault="0021426B" w:rsidP="0021426B">
            <w:pPr>
              <w:rPr>
                <w:sz w:val="22"/>
                <w:szCs w:val="22"/>
              </w:rPr>
            </w:pPr>
            <w:r w:rsidRPr="00884993">
              <w:rPr>
                <w:sz w:val="22"/>
                <w:szCs w:val="22"/>
              </w:rPr>
              <w:t>Fusion protein which moderates T lymphocyte-dependent antibody responses and inflammation (see p17)</w:t>
            </w:r>
          </w:p>
        </w:tc>
      </w:tr>
      <w:tr w:rsidR="0021426B" w:rsidRPr="00884993" w14:paraId="3B401EE5" w14:textId="77777777" w:rsidTr="0021426B">
        <w:trPr>
          <w:trHeight w:val="1017"/>
        </w:trPr>
        <w:tc>
          <w:tcPr>
            <w:tcW w:w="3679" w:type="dxa"/>
            <w:shd w:val="clear" w:color="auto" w:fill="CCFFFF"/>
          </w:tcPr>
          <w:p w14:paraId="7D2F4EB0" w14:textId="77777777" w:rsidR="0021426B" w:rsidRPr="00884993" w:rsidRDefault="0021426B" w:rsidP="0021426B">
            <w:pPr>
              <w:rPr>
                <w:sz w:val="22"/>
                <w:szCs w:val="22"/>
              </w:rPr>
            </w:pPr>
            <w:r w:rsidRPr="00884993">
              <w:rPr>
                <w:sz w:val="22"/>
                <w:szCs w:val="22"/>
              </w:rPr>
              <w:t>Licensed Dose:</w:t>
            </w:r>
          </w:p>
        </w:tc>
        <w:tc>
          <w:tcPr>
            <w:tcW w:w="5337" w:type="dxa"/>
            <w:shd w:val="clear" w:color="auto" w:fill="auto"/>
          </w:tcPr>
          <w:p w14:paraId="1AEAC2CE" w14:textId="77777777" w:rsidR="0021426B" w:rsidRPr="00884993" w:rsidRDefault="0021426B" w:rsidP="0021426B">
            <w:pPr>
              <w:overflowPunct/>
              <w:autoSpaceDE/>
              <w:autoSpaceDN/>
              <w:adjustRightInd/>
              <w:spacing w:before="100" w:beforeAutospacing="1" w:after="75"/>
              <w:textAlignment w:val="auto"/>
              <w:rPr>
                <w:sz w:val="22"/>
                <w:szCs w:val="22"/>
              </w:rPr>
            </w:pPr>
            <w:r w:rsidRPr="00884993">
              <w:rPr>
                <w:b/>
                <w:color w:val="000000"/>
                <w:sz w:val="22"/>
                <w:szCs w:val="22"/>
                <w:lang w:eastAsia="en-GB"/>
              </w:rPr>
              <w:t>RA (+methotrexate)</w:t>
            </w:r>
            <w:r w:rsidRPr="00884993">
              <w:rPr>
                <w:color w:val="000000"/>
                <w:sz w:val="22"/>
                <w:szCs w:val="22"/>
                <w:lang w:eastAsia="en-GB"/>
              </w:rPr>
              <w:t xml:space="preserve"> </w:t>
            </w:r>
            <w:r w:rsidRPr="00884993">
              <w:rPr>
                <w:sz w:val="22"/>
                <w:szCs w:val="22"/>
              </w:rPr>
              <w:t>●</w:t>
            </w:r>
            <w:r w:rsidRPr="00884993">
              <w:rPr>
                <w:color w:val="000000"/>
                <w:sz w:val="22"/>
                <w:szCs w:val="22"/>
                <w:lang w:eastAsia="en-GB"/>
              </w:rPr>
              <w:t xml:space="preserve"> subcutaneous route - give a single infusion loading dose followed by 125mg SC within a day and then 125mg SC weekly. </w:t>
            </w:r>
            <w:r w:rsidRPr="00884993">
              <w:rPr>
                <w:sz w:val="22"/>
                <w:szCs w:val="22"/>
              </w:rPr>
              <w:t>●IV infusion at week 0,2 and 4 then 4 weekly (&lt;50kg give 500mg, 60 to 100kg give 750mg, &gt;100kg give 1000mg).</w:t>
            </w:r>
          </w:p>
        </w:tc>
      </w:tr>
      <w:tr w:rsidR="0021426B" w:rsidRPr="00884993" w14:paraId="1FE9AB73" w14:textId="77777777" w:rsidTr="0021426B">
        <w:trPr>
          <w:trHeight w:val="480"/>
        </w:trPr>
        <w:tc>
          <w:tcPr>
            <w:tcW w:w="3679" w:type="dxa"/>
            <w:shd w:val="clear" w:color="auto" w:fill="CCFFFF"/>
          </w:tcPr>
          <w:p w14:paraId="25EE0AAA" w14:textId="77777777" w:rsidR="0021426B" w:rsidRPr="00884993" w:rsidRDefault="0021426B" w:rsidP="0021426B">
            <w:pPr>
              <w:rPr>
                <w:sz w:val="22"/>
                <w:szCs w:val="22"/>
              </w:rPr>
            </w:pPr>
            <w:r w:rsidRPr="00884993">
              <w:rPr>
                <w:sz w:val="22"/>
                <w:szCs w:val="22"/>
              </w:rPr>
              <w:t>Preparations:</w:t>
            </w:r>
          </w:p>
        </w:tc>
        <w:tc>
          <w:tcPr>
            <w:tcW w:w="5337" w:type="dxa"/>
            <w:shd w:val="clear" w:color="auto" w:fill="auto"/>
          </w:tcPr>
          <w:p w14:paraId="381BDC92" w14:textId="77777777" w:rsidR="0021426B" w:rsidRPr="00884993" w:rsidRDefault="0021426B" w:rsidP="0021426B">
            <w:pPr>
              <w:rPr>
                <w:sz w:val="22"/>
                <w:szCs w:val="22"/>
                <w:lang w:val="pl-PL"/>
              </w:rPr>
            </w:pPr>
            <w:r w:rsidRPr="00884993">
              <w:rPr>
                <w:sz w:val="22"/>
                <w:szCs w:val="22"/>
                <w:lang w:val="pl-PL"/>
              </w:rPr>
              <w:t>250mg dry powder vial (administered by IV infusion in 100ml 0.9% sodium chloride over 30 minutes) and 125mg pre-filled syringe</w:t>
            </w:r>
          </w:p>
        </w:tc>
      </w:tr>
      <w:tr w:rsidR="0021426B" w:rsidRPr="00884993" w14:paraId="292D64E6" w14:textId="77777777" w:rsidTr="0021426B">
        <w:trPr>
          <w:trHeight w:val="471"/>
        </w:trPr>
        <w:tc>
          <w:tcPr>
            <w:tcW w:w="3679" w:type="dxa"/>
            <w:shd w:val="clear" w:color="auto" w:fill="CCFFFF"/>
          </w:tcPr>
          <w:p w14:paraId="62632F85" w14:textId="77777777" w:rsidR="0021426B" w:rsidRPr="00884993" w:rsidRDefault="0021426B" w:rsidP="0021426B">
            <w:pPr>
              <w:rPr>
                <w:sz w:val="22"/>
                <w:szCs w:val="22"/>
              </w:rPr>
            </w:pPr>
            <w:r w:rsidRPr="00884993">
              <w:rPr>
                <w:sz w:val="22"/>
                <w:szCs w:val="22"/>
              </w:rPr>
              <w:t>NICE Guidance:</w:t>
            </w:r>
          </w:p>
        </w:tc>
        <w:tc>
          <w:tcPr>
            <w:tcW w:w="5337" w:type="dxa"/>
            <w:shd w:val="clear" w:color="auto" w:fill="auto"/>
          </w:tcPr>
          <w:p w14:paraId="1222EBDE" w14:textId="77777777" w:rsidR="0021426B" w:rsidRDefault="0021426B" w:rsidP="0021426B">
            <w:pPr>
              <w:rPr>
                <w:rStyle w:val="Hyperlink"/>
                <w:color w:val="auto"/>
                <w:kern w:val="24"/>
                <w:sz w:val="22"/>
                <w:szCs w:val="22"/>
                <w:lang w:eastAsia="en-GB"/>
              </w:rPr>
            </w:pPr>
            <w:r>
              <w:rPr>
                <w:color w:val="000000"/>
                <w:kern w:val="24"/>
                <w:sz w:val="22"/>
                <w:szCs w:val="22"/>
                <w:lang w:eastAsia="en-GB"/>
              </w:rPr>
              <w:t xml:space="preserve">RA: </w:t>
            </w:r>
            <w:hyperlink r:id="rId57" w:history="1">
              <w:r w:rsidRPr="004132B1">
                <w:rPr>
                  <w:rStyle w:val="Hyperlink"/>
                  <w:kern w:val="24"/>
                  <w:sz w:val="22"/>
                  <w:szCs w:val="22"/>
                  <w:lang w:eastAsia="en-GB"/>
                </w:rPr>
                <w:t>TA375</w:t>
              </w:r>
            </w:hyperlink>
            <w:r>
              <w:rPr>
                <w:rStyle w:val="Hyperlink"/>
                <w:kern w:val="24"/>
                <w:sz w:val="22"/>
                <w:szCs w:val="22"/>
                <w:lang w:eastAsia="en-GB"/>
              </w:rPr>
              <w:t xml:space="preserve"> </w:t>
            </w:r>
            <w:r w:rsidRPr="00586C73">
              <w:rPr>
                <w:rStyle w:val="Hyperlink"/>
                <w:color w:val="auto"/>
                <w:kern w:val="24"/>
                <w:sz w:val="22"/>
                <w:szCs w:val="22"/>
                <w:lang w:eastAsia="en-GB"/>
              </w:rPr>
              <w:t>and</w:t>
            </w:r>
            <w:r>
              <w:rPr>
                <w:rStyle w:val="Hyperlink"/>
                <w:kern w:val="24"/>
                <w:sz w:val="22"/>
                <w:szCs w:val="22"/>
                <w:lang w:eastAsia="en-GB"/>
              </w:rPr>
              <w:t xml:space="preserve"> </w:t>
            </w:r>
            <w:hyperlink r:id="rId58" w:history="1">
              <w:r w:rsidRPr="001C116E">
                <w:rPr>
                  <w:rStyle w:val="Hyperlink"/>
                  <w:kern w:val="24"/>
                  <w:sz w:val="22"/>
                  <w:szCs w:val="22"/>
                  <w:lang w:eastAsia="en-GB"/>
                </w:rPr>
                <w:t>TA195</w:t>
              </w:r>
            </w:hyperlink>
            <w:r>
              <w:rPr>
                <w:rStyle w:val="Hyperlink"/>
                <w:kern w:val="24"/>
                <w:sz w:val="22"/>
                <w:szCs w:val="22"/>
                <w:lang w:eastAsia="en-GB"/>
              </w:rPr>
              <w:t xml:space="preserve"> </w:t>
            </w:r>
            <w:r>
              <w:rPr>
                <w:rStyle w:val="Hyperlink"/>
                <w:color w:val="auto"/>
                <w:kern w:val="24"/>
                <w:sz w:val="22"/>
                <w:szCs w:val="22"/>
                <w:lang w:eastAsia="en-GB"/>
              </w:rPr>
              <w:t>(after TNF failure if rituximab CI/failed)</w:t>
            </w:r>
          </w:p>
          <w:p w14:paraId="60BF625D" w14:textId="77777777" w:rsidR="0021426B" w:rsidRPr="00586C73" w:rsidRDefault="0021426B" w:rsidP="0021426B">
            <w:pPr>
              <w:rPr>
                <w:sz w:val="22"/>
                <w:szCs w:val="22"/>
              </w:rPr>
            </w:pPr>
            <w:r w:rsidRPr="00884993">
              <w:rPr>
                <w:sz w:val="22"/>
                <w:szCs w:val="22"/>
              </w:rPr>
              <w:t>JIA</w:t>
            </w:r>
            <w:r>
              <w:rPr>
                <w:sz w:val="22"/>
                <w:szCs w:val="22"/>
              </w:rPr>
              <w:t>:</w:t>
            </w:r>
            <w:r w:rsidRPr="00884993">
              <w:rPr>
                <w:sz w:val="22"/>
                <w:szCs w:val="22"/>
              </w:rPr>
              <w:t xml:space="preserve"> </w:t>
            </w:r>
            <w:hyperlink r:id="rId59" w:history="1">
              <w:r w:rsidRPr="00586C73">
                <w:rPr>
                  <w:rStyle w:val="Hyperlink"/>
                  <w:sz w:val="22"/>
                  <w:szCs w:val="22"/>
                </w:rPr>
                <w:t>TA373</w:t>
              </w:r>
            </w:hyperlink>
          </w:p>
        </w:tc>
      </w:tr>
      <w:tr w:rsidR="0021426B" w:rsidRPr="00884993" w14:paraId="362651AC" w14:textId="77777777" w:rsidTr="0021426B">
        <w:trPr>
          <w:trHeight w:val="716"/>
        </w:trPr>
        <w:tc>
          <w:tcPr>
            <w:tcW w:w="3679" w:type="dxa"/>
            <w:shd w:val="clear" w:color="auto" w:fill="CCFFFF"/>
          </w:tcPr>
          <w:p w14:paraId="4D84A099" w14:textId="77777777" w:rsidR="0021426B" w:rsidRPr="00884993" w:rsidRDefault="0021426B" w:rsidP="0021426B">
            <w:pPr>
              <w:rPr>
                <w:sz w:val="22"/>
                <w:szCs w:val="22"/>
              </w:rPr>
            </w:pPr>
            <w:r w:rsidRPr="00884993">
              <w:rPr>
                <w:sz w:val="22"/>
                <w:szCs w:val="22"/>
              </w:rPr>
              <w:t>Warnings/Contra-indications/Significant drug interactions:</w:t>
            </w:r>
          </w:p>
          <w:p w14:paraId="7411EDA3" w14:textId="77777777" w:rsidR="0021426B" w:rsidRPr="00884993" w:rsidRDefault="0021426B" w:rsidP="0021426B">
            <w:pPr>
              <w:rPr>
                <w:sz w:val="22"/>
                <w:szCs w:val="22"/>
              </w:rPr>
            </w:pPr>
            <w:r w:rsidRPr="00884993">
              <w:rPr>
                <w:sz w:val="22"/>
                <w:szCs w:val="22"/>
              </w:rPr>
              <w:t>(*Refer to licensed datasheet for special warnings)</w:t>
            </w:r>
          </w:p>
        </w:tc>
        <w:tc>
          <w:tcPr>
            <w:tcW w:w="5337" w:type="dxa"/>
            <w:shd w:val="clear" w:color="auto" w:fill="auto"/>
          </w:tcPr>
          <w:p w14:paraId="6ED6812B" w14:textId="77777777" w:rsidR="0021426B" w:rsidRPr="00884993" w:rsidRDefault="0021426B" w:rsidP="0021426B">
            <w:pPr>
              <w:rPr>
                <w:sz w:val="22"/>
                <w:szCs w:val="22"/>
              </w:rPr>
            </w:pPr>
            <w:r w:rsidRPr="00884993">
              <w:rPr>
                <w:sz w:val="22"/>
                <w:szCs w:val="22"/>
              </w:rPr>
              <w:t>●Hypersensitivity to active substance or any excipient ●Severe and uncontrolled infections (sepsis/opportunistic) ●Avoid Live vaccines during and for 3 months after last dose.</w:t>
            </w:r>
          </w:p>
        </w:tc>
      </w:tr>
      <w:tr w:rsidR="0021426B" w:rsidRPr="00884993" w14:paraId="1A04EF52" w14:textId="77777777" w:rsidTr="0021426B">
        <w:trPr>
          <w:trHeight w:val="716"/>
        </w:trPr>
        <w:tc>
          <w:tcPr>
            <w:tcW w:w="3679" w:type="dxa"/>
            <w:shd w:val="clear" w:color="auto" w:fill="CCFFFF"/>
          </w:tcPr>
          <w:p w14:paraId="7718017B" w14:textId="77777777" w:rsidR="0021426B" w:rsidRPr="00884993" w:rsidRDefault="0021426B" w:rsidP="0021426B">
            <w:pPr>
              <w:rPr>
                <w:sz w:val="22"/>
                <w:szCs w:val="22"/>
              </w:rPr>
            </w:pPr>
            <w:r w:rsidRPr="00884993">
              <w:rPr>
                <w:sz w:val="22"/>
                <w:szCs w:val="22"/>
              </w:rPr>
              <w:t>Assessment of Response:</w:t>
            </w:r>
          </w:p>
        </w:tc>
        <w:tc>
          <w:tcPr>
            <w:tcW w:w="5337" w:type="dxa"/>
            <w:shd w:val="clear" w:color="auto" w:fill="auto"/>
          </w:tcPr>
          <w:p w14:paraId="6EFDCF41" w14:textId="77777777" w:rsidR="0021426B" w:rsidRPr="00884993" w:rsidRDefault="0021426B" w:rsidP="0021426B">
            <w:pPr>
              <w:rPr>
                <w:sz w:val="22"/>
                <w:szCs w:val="22"/>
              </w:rPr>
            </w:pPr>
            <w:r w:rsidRPr="00884993">
              <w:rPr>
                <w:sz w:val="22"/>
                <w:szCs w:val="22"/>
              </w:rPr>
              <w:t>Clinical response should be carefully assessed, including DAS28 score at 3-6 months. Full clinical response may take longer to occur than with other biologic therapies.</w:t>
            </w:r>
          </w:p>
        </w:tc>
      </w:tr>
      <w:tr w:rsidR="0021426B" w:rsidRPr="00884993" w14:paraId="1EBC3F39" w14:textId="77777777" w:rsidTr="0021426B">
        <w:trPr>
          <w:trHeight w:val="1771"/>
        </w:trPr>
        <w:tc>
          <w:tcPr>
            <w:tcW w:w="3679" w:type="dxa"/>
            <w:shd w:val="clear" w:color="auto" w:fill="CCFFFF"/>
          </w:tcPr>
          <w:p w14:paraId="4A5DD642" w14:textId="77777777" w:rsidR="0021426B" w:rsidRPr="00884993" w:rsidRDefault="0021426B" w:rsidP="0021426B">
            <w:pPr>
              <w:rPr>
                <w:sz w:val="22"/>
                <w:szCs w:val="22"/>
              </w:rPr>
            </w:pPr>
            <w:r w:rsidRPr="00884993">
              <w:rPr>
                <w:sz w:val="22"/>
                <w:szCs w:val="22"/>
              </w:rPr>
              <w:t>Baseline Tests:</w:t>
            </w:r>
          </w:p>
        </w:tc>
        <w:tc>
          <w:tcPr>
            <w:tcW w:w="5337" w:type="dxa"/>
            <w:shd w:val="clear" w:color="auto" w:fill="auto"/>
          </w:tcPr>
          <w:p w14:paraId="0CF18808" w14:textId="77777777" w:rsidR="0021426B" w:rsidRPr="00884993" w:rsidRDefault="0021426B" w:rsidP="0021426B">
            <w:pPr>
              <w:numPr>
                <w:ilvl w:val="0"/>
                <w:numId w:val="16"/>
              </w:numPr>
              <w:overflowPunct/>
              <w:autoSpaceDE/>
              <w:autoSpaceDN/>
              <w:adjustRightInd/>
              <w:textAlignment w:val="auto"/>
              <w:rPr>
                <w:sz w:val="22"/>
                <w:szCs w:val="22"/>
              </w:rPr>
            </w:pPr>
            <w:r w:rsidRPr="00884993">
              <w:rPr>
                <w:sz w:val="22"/>
                <w:szCs w:val="22"/>
              </w:rPr>
              <w:t>Full clinical/infection screen</w:t>
            </w:r>
          </w:p>
          <w:p w14:paraId="28FC5D85" w14:textId="77777777" w:rsidR="0021426B" w:rsidRPr="00884993" w:rsidRDefault="0021426B" w:rsidP="0021426B">
            <w:pPr>
              <w:numPr>
                <w:ilvl w:val="0"/>
                <w:numId w:val="16"/>
              </w:numPr>
              <w:overflowPunct/>
              <w:autoSpaceDE/>
              <w:autoSpaceDN/>
              <w:adjustRightInd/>
              <w:textAlignment w:val="auto"/>
              <w:rPr>
                <w:sz w:val="22"/>
                <w:szCs w:val="22"/>
              </w:rPr>
            </w:pPr>
            <w:r w:rsidRPr="00884993">
              <w:rPr>
                <w:sz w:val="22"/>
                <w:szCs w:val="22"/>
              </w:rPr>
              <w:t>Urinalysis &amp; BP</w:t>
            </w:r>
          </w:p>
          <w:p w14:paraId="749C7D26" w14:textId="77777777" w:rsidR="0021426B" w:rsidRPr="00884993" w:rsidRDefault="0021426B" w:rsidP="0021426B">
            <w:pPr>
              <w:numPr>
                <w:ilvl w:val="0"/>
                <w:numId w:val="16"/>
              </w:numPr>
              <w:overflowPunct/>
              <w:autoSpaceDE/>
              <w:autoSpaceDN/>
              <w:adjustRightInd/>
              <w:textAlignment w:val="auto"/>
              <w:rPr>
                <w:sz w:val="22"/>
                <w:szCs w:val="22"/>
                <w:lang w:val="sv-SE"/>
              </w:rPr>
            </w:pPr>
            <w:r w:rsidRPr="00884993">
              <w:rPr>
                <w:sz w:val="22"/>
                <w:szCs w:val="22"/>
                <w:lang w:val="sv-SE"/>
              </w:rPr>
              <w:t>FBC/U&amp;E/LFT/ANA/DNA</w:t>
            </w:r>
          </w:p>
          <w:p w14:paraId="3279FFBC" w14:textId="77777777" w:rsidR="0021426B" w:rsidRPr="00884993" w:rsidRDefault="0021426B" w:rsidP="0021426B">
            <w:pPr>
              <w:numPr>
                <w:ilvl w:val="0"/>
                <w:numId w:val="16"/>
              </w:numPr>
              <w:overflowPunct/>
              <w:autoSpaceDE/>
              <w:autoSpaceDN/>
              <w:adjustRightInd/>
              <w:textAlignment w:val="auto"/>
              <w:rPr>
                <w:sz w:val="22"/>
                <w:szCs w:val="22"/>
              </w:rPr>
            </w:pPr>
            <w:r w:rsidRPr="00884993">
              <w:rPr>
                <w:sz w:val="22"/>
                <w:szCs w:val="22"/>
              </w:rPr>
              <w:t>CXR (evidence TB/fibrosis)</w:t>
            </w:r>
          </w:p>
          <w:p w14:paraId="0D549C8D" w14:textId="77777777" w:rsidR="0021426B" w:rsidRPr="00884993" w:rsidRDefault="0021426B" w:rsidP="0021426B">
            <w:pPr>
              <w:numPr>
                <w:ilvl w:val="0"/>
                <w:numId w:val="16"/>
              </w:numPr>
              <w:overflowPunct/>
              <w:autoSpaceDE/>
              <w:autoSpaceDN/>
              <w:adjustRightInd/>
              <w:textAlignment w:val="auto"/>
              <w:rPr>
                <w:sz w:val="22"/>
                <w:szCs w:val="22"/>
              </w:rPr>
            </w:pPr>
            <w:r w:rsidRPr="00884993">
              <w:rPr>
                <w:sz w:val="22"/>
                <w:szCs w:val="22"/>
              </w:rPr>
              <w:t>Quantiferon or TB spot (as indicated)</w:t>
            </w:r>
          </w:p>
          <w:p w14:paraId="02068B1E" w14:textId="77777777" w:rsidR="0021426B" w:rsidRPr="00884993" w:rsidRDefault="0021426B" w:rsidP="0021426B">
            <w:pPr>
              <w:numPr>
                <w:ilvl w:val="0"/>
                <w:numId w:val="16"/>
              </w:numPr>
              <w:overflowPunct/>
              <w:autoSpaceDE/>
              <w:autoSpaceDN/>
              <w:adjustRightInd/>
              <w:textAlignment w:val="auto"/>
              <w:rPr>
                <w:sz w:val="22"/>
                <w:szCs w:val="22"/>
              </w:rPr>
            </w:pPr>
            <w:r w:rsidRPr="00884993">
              <w:rPr>
                <w:sz w:val="22"/>
                <w:szCs w:val="22"/>
              </w:rPr>
              <w:t>Hepatitis B&amp;C + consider HIV</w:t>
            </w:r>
          </w:p>
          <w:p w14:paraId="5013B2B9" w14:textId="77777777" w:rsidR="0021426B" w:rsidRPr="00884993" w:rsidRDefault="0021426B" w:rsidP="0021426B">
            <w:pPr>
              <w:numPr>
                <w:ilvl w:val="0"/>
                <w:numId w:val="16"/>
              </w:numPr>
              <w:rPr>
                <w:sz w:val="22"/>
                <w:szCs w:val="22"/>
              </w:rPr>
            </w:pPr>
            <w:r w:rsidRPr="00884993">
              <w:rPr>
                <w:sz w:val="22"/>
                <w:szCs w:val="22"/>
              </w:rPr>
              <w:t>Pregnancy test if indicated</w:t>
            </w:r>
          </w:p>
        </w:tc>
      </w:tr>
      <w:tr w:rsidR="0021426B" w:rsidRPr="00884993" w14:paraId="7E85DF25" w14:textId="77777777" w:rsidTr="0021426B">
        <w:trPr>
          <w:trHeight w:val="716"/>
        </w:trPr>
        <w:tc>
          <w:tcPr>
            <w:tcW w:w="3679" w:type="dxa"/>
            <w:shd w:val="clear" w:color="auto" w:fill="CCFFFF"/>
          </w:tcPr>
          <w:p w14:paraId="36D23A49" w14:textId="77777777" w:rsidR="0021426B" w:rsidRPr="00884993" w:rsidRDefault="0021426B" w:rsidP="0021426B">
            <w:pPr>
              <w:rPr>
                <w:sz w:val="22"/>
                <w:szCs w:val="22"/>
              </w:rPr>
            </w:pPr>
            <w:r w:rsidRPr="00884993">
              <w:rPr>
                <w:sz w:val="22"/>
                <w:szCs w:val="22"/>
              </w:rPr>
              <w:t>Routine Monitoring:</w:t>
            </w:r>
          </w:p>
        </w:tc>
        <w:tc>
          <w:tcPr>
            <w:tcW w:w="5337" w:type="dxa"/>
            <w:shd w:val="clear" w:color="auto" w:fill="auto"/>
          </w:tcPr>
          <w:p w14:paraId="3A12CE6C" w14:textId="77777777" w:rsidR="0021426B" w:rsidRPr="00884993" w:rsidRDefault="0021426B" w:rsidP="0021426B">
            <w:pPr>
              <w:rPr>
                <w:sz w:val="22"/>
                <w:szCs w:val="22"/>
              </w:rPr>
            </w:pPr>
            <w:r w:rsidRPr="00884993">
              <w:rPr>
                <w:sz w:val="22"/>
                <w:szCs w:val="22"/>
              </w:rPr>
              <w:t xml:space="preserve">●Continue standard DMARD monitoring for methotrexate/other DMARDs the patient is taking ● If on monotherapy – FBC &amp; LFT’s at 1, 3 and 6 months and then </w:t>
            </w:r>
            <w:r>
              <w:rPr>
                <w:sz w:val="22"/>
                <w:szCs w:val="22"/>
              </w:rPr>
              <w:t>annually</w:t>
            </w:r>
          </w:p>
        </w:tc>
      </w:tr>
      <w:tr w:rsidR="0021426B" w:rsidRPr="00884993" w14:paraId="711FE5ED" w14:textId="77777777" w:rsidTr="0021426B">
        <w:trPr>
          <w:trHeight w:val="1912"/>
        </w:trPr>
        <w:tc>
          <w:tcPr>
            <w:tcW w:w="3679" w:type="dxa"/>
            <w:shd w:val="clear" w:color="auto" w:fill="CCFFFF"/>
          </w:tcPr>
          <w:p w14:paraId="70CE8D71" w14:textId="77777777" w:rsidR="0021426B" w:rsidRPr="00884993" w:rsidRDefault="0021426B" w:rsidP="0021426B">
            <w:pPr>
              <w:rPr>
                <w:sz w:val="22"/>
                <w:szCs w:val="22"/>
              </w:rPr>
            </w:pPr>
            <w:r w:rsidRPr="00884993">
              <w:rPr>
                <w:sz w:val="22"/>
                <w:szCs w:val="22"/>
              </w:rPr>
              <w:t xml:space="preserve">Indications for Stopping Therapy: </w:t>
            </w:r>
          </w:p>
        </w:tc>
        <w:tc>
          <w:tcPr>
            <w:tcW w:w="5337" w:type="dxa"/>
            <w:shd w:val="clear" w:color="auto" w:fill="auto"/>
          </w:tcPr>
          <w:p w14:paraId="3F1523C2" w14:textId="77777777" w:rsidR="0021426B" w:rsidRPr="00884993" w:rsidRDefault="0021426B" w:rsidP="0021426B">
            <w:pPr>
              <w:rPr>
                <w:sz w:val="22"/>
                <w:szCs w:val="22"/>
              </w:rPr>
            </w:pPr>
            <w:r w:rsidRPr="00884993">
              <w:rPr>
                <w:b/>
                <w:sz w:val="22"/>
                <w:szCs w:val="22"/>
              </w:rPr>
              <w:t>Stop treatment if</w:t>
            </w:r>
            <w:r w:rsidRPr="00884993">
              <w:rPr>
                <w:sz w:val="22"/>
                <w:szCs w:val="22"/>
              </w:rPr>
              <w:t>:</w:t>
            </w:r>
          </w:p>
          <w:p w14:paraId="29099F1F" w14:textId="77777777" w:rsidR="0021426B" w:rsidRPr="00884993" w:rsidRDefault="0021426B" w:rsidP="0021426B">
            <w:pPr>
              <w:rPr>
                <w:sz w:val="22"/>
                <w:szCs w:val="22"/>
              </w:rPr>
            </w:pPr>
            <w:r w:rsidRPr="00884993">
              <w:rPr>
                <w:sz w:val="22"/>
                <w:szCs w:val="22"/>
              </w:rPr>
              <w:t xml:space="preserve">●Evidence of active infection </w:t>
            </w:r>
          </w:p>
          <w:p w14:paraId="712A3356" w14:textId="77777777" w:rsidR="0021426B" w:rsidRPr="00884993" w:rsidRDefault="0021426B" w:rsidP="0021426B">
            <w:pPr>
              <w:rPr>
                <w:sz w:val="22"/>
                <w:szCs w:val="22"/>
              </w:rPr>
            </w:pPr>
            <w:r w:rsidRPr="00884993">
              <w:rPr>
                <w:sz w:val="22"/>
                <w:szCs w:val="22"/>
              </w:rPr>
              <w:t>●Pruritis/rash or symptoms suggestive of an allergic reaction</w:t>
            </w:r>
          </w:p>
          <w:p w14:paraId="7B006A97" w14:textId="77777777" w:rsidR="0021426B" w:rsidRPr="00884993" w:rsidRDefault="0021426B" w:rsidP="0021426B">
            <w:pPr>
              <w:rPr>
                <w:sz w:val="22"/>
                <w:szCs w:val="22"/>
              </w:rPr>
            </w:pPr>
            <w:r w:rsidRPr="00884993">
              <w:rPr>
                <w:sz w:val="22"/>
                <w:szCs w:val="22"/>
              </w:rPr>
              <w:t>WCC           &lt;3.5 10</w:t>
            </w:r>
            <w:r w:rsidRPr="00884993">
              <w:rPr>
                <w:sz w:val="22"/>
                <w:szCs w:val="22"/>
                <w:vertAlign w:val="superscript"/>
              </w:rPr>
              <w:t>9/</w:t>
            </w:r>
            <w:r w:rsidRPr="00884993">
              <w:rPr>
                <w:sz w:val="22"/>
                <w:szCs w:val="22"/>
              </w:rPr>
              <w:t>L or below local normal range</w:t>
            </w:r>
          </w:p>
          <w:p w14:paraId="5A0628E7" w14:textId="77777777" w:rsidR="0021426B" w:rsidRPr="00884993" w:rsidRDefault="0021426B" w:rsidP="0021426B">
            <w:pPr>
              <w:rPr>
                <w:sz w:val="22"/>
                <w:szCs w:val="22"/>
              </w:rPr>
            </w:pPr>
            <w:r w:rsidRPr="00884993">
              <w:rPr>
                <w:sz w:val="22"/>
                <w:szCs w:val="22"/>
              </w:rPr>
              <w:t>Neutrophils &lt; 2.0 10</w:t>
            </w:r>
            <w:r w:rsidRPr="00884993">
              <w:rPr>
                <w:sz w:val="22"/>
                <w:szCs w:val="22"/>
                <w:vertAlign w:val="superscript"/>
              </w:rPr>
              <w:t>9/</w:t>
            </w:r>
            <w:r w:rsidRPr="00884993">
              <w:rPr>
                <w:sz w:val="22"/>
                <w:szCs w:val="22"/>
              </w:rPr>
              <w:t>L or below local normal range</w:t>
            </w:r>
          </w:p>
          <w:p w14:paraId="395BFE1C" w14:textId="77777777" w:rsidR="0021426B" w:rsidRPr="00884993" w:rsidRDefault="0021426B" w:rsidP="0021426B">
            <w:pPr>
              <w:rPr>
                <w:sz w:val="22"/>
                <w:szCs w:val="22"/>
              </w:rPr>
            </w:pPr>
            <w:r w:rsidRPr="00884993">
              <w:rPr>
                <w:sz w:val="22"/>
                <w:szCs w:val="22"/>
              </w:rPr>
              <w:t>Platelets      &lt;150 10</w:t>
            </w:r>
            <w:r w:rsidRPr="00884993">
              <w:rPr>
                <w:sz w:val="22"/>
                <w:szCs w:val="22"/>
                <w:vertAlign w:val="superscript"/>
              </w:rPr>
              <w:t>9/</w:t>
            </w:r>
            <w:r w:rsidRPr="00884993">
              <w:rPr>
                <w:sz w:val="22"/>
                <w:szCs w:val="22"/>
              </w:rPr>
              <w:t>L or below local normal range</w:t>
            </w:r>
          </w:p>
          <w:p w14:paraId="193049FF" w14:textId="77777777" w:rsidR="0021426B" w:rsidRPr="00884993" w:rsidRDefault="0021426B" w:rsidP="0021426B">
            <w:pPr>
              <w:rPr>
                <w:sz w:val="22"/>
                <w:szCs w:val="22"/>
              </w:rPr>
            </w:pPr>
            <w:r w:rsidRPr="00884993">
              <w:rPr>
                <w:sz w:val="22"/>
                <w:szCs w:val="22"/>
              </w:rPr>
              <w:t>AST or ALT &gt; 3 times normal range (iu/L)</w:t>
            </w:r>
          </w:p>
          <w:p w14:paraId="6C937C99" w14:textId="77777777" w:rsidR="0021426B" w:rsidRPr="00884993" w:rsidRDefault="0021426B" w:rsidP="0021426B">
            <w:pPr>
              <w:rPr>
                <w:sz w:val="22"/>
                <w:szCs w:val="22"/>
              </w:rPr>
            </w:pPr>
            <w:r w:rsidRPr="00884993">
              <w:rPr>
                <w:b/>
                <w:sz w:val="22"/>
                <w:szCs w:val="22"/>
              </w:rPr>
              <w:t>CONTACT THE RHEUMATOLOGY SERVICE</w:t>
            </w:r>
          </w:p>
        </w:tc>
      </w:tr>
      <w:tr w:rsidR="0021426B" w:rsidRPr="00884993" w14:paraId="271B4BDC" w14:textId="77777777" w:rsidTr="0021426B">
        <w:trPr>
          <w:trHeight w:val="1667"/>
        </w:trPr>
        <w:tc>
          <w:tcPr>
            <w:tcW w:w="9016" w:type="dxa"/>
            <w:gridSpan w:val="2"/>
            <w:shd w:val="clear" w:color="auto" w:fill="auto"/>
          </w:tcPr>
          <w:p w14:paraId="6FC4A81C" w14:textId="77777777" w:rsidR="0021426B" w:rsidRPr="00884993" w:rsidRDefault="0021426B" w:rsidP="0021426B">
            <w:pPr>
              <w:rPr>
                <w:sz w:val="22"/>
                <w:szCs w:val="22"/>
              </w:rPr>
            </w:pPr>
            <w:r w:rsidRPr="00884993">
              <w:rPr>
                <w:sz w:val="22"/>
                <w:szCs w:val="22"/>
              </w:rPr>
              <w:t>Please refer to licensed datasheet for more comprehensive prescribing information:</w:t>
            </w:r>
          </w:p>
          <w:p w14:paraId="6672337B" w14:textId="77777777" w:rsidR="0021426B" w:rsidRPr="00884993" w:rsidRDefault="00323D19" w:rsidP="0021426B">
            <w:pPr>
              <w:rPr>
                <w:sz w:val="22"/>
                <w:szCs w:val="22"/>
              </w:rPr>
            </w:pPr>
            <w:hyperlink r:id="rId60" w:anchor="INDICATIONS" w:history="1">
              <w:r w:rsidR="0021426B" w:rsidRPr="00884993">
                <w:rPr>
                  <w:rStyle w:val="Hyperlink"/>
                  <w:sz w:val="22"/>
                  <w:szCs w:val="22"/>
                </w:rPr>
                <w:t>http://www.medicines.org.uk/EMC/medicine/27216/SPC/ORENCIA+125+mg+solution+for+injection+(pre-filled+syringe)/#INDICATIONS</w:t>
              </w:r>
            </w:hyperlink>
          </w:p>
          <w:p w14:paraId="462DD285" w14:textId="77777777" w:rsidR="0021426B" w:rsidRPr="00884993" w:rsidRDefault="00323D19" w:rsidP="0021426B">
            <w:pPr>
              <w:rPr>
                <w:sz w:val="22"/>
                <w:szCs w:val="22"/>
              </w:rPr>
            </w:pPr>
            <w:hyperlink r:id="rId61" w:history="1">
              <w:r w:rsidR="0021426B" w:rsidRPr="00884993">
                <w:rPr>
                  <w:rStyle w:val="Hyperlink"/>
                  <w:sz w:val="22"/>
                  <w:szCs w:val="22"/>
                </w:rPr>
                <w:t>http://www.medicines.org.uk/EMC/medicine/19714/SPC/ORENCIA+250+mg+powder+for+concentrate+for+solution+for+infusion/</w:t>
              </w:r>
            </w:hyperlink>
          </w:p>
          <w:p w14:paraId="66F2142D" w14:textId="77777777" w:rsidR="0021426B" w:rsidRPr="00884993" w:rsidRDefault="0021426B" w:rsidP="0021426B">
            <w:pPr>
              <w:rPr>
                <w:sz w:val="22"/>
                <w:szCs w:val="22"/>
              </w:rPr>
            </w:pPr>
          </w:p>
          <w:p w14:paraId="6FFCF6B5" w14:textId="77777777" w:rsidR="0021426B" w:rsidRPr="00884993" w:rsidRDefault="0021426B" w:rsidP="0021426B">
            <w:pPr>
              <w:rPr>
                <w:sz w:val="22"/>
                <w:szCs w:val="22"/>
              </w:rPr>
            </w:pPr>
          </w:p>
          <w:p w14:paraId="56918154" w14:textId="77777777" w:rsidR="0021426B" w:rsidRPr="00884993" w:rsidRDefault="0021426B" w:rsidP="0021426B">
            <w:pPr>
              <w:rPr>
                <w:sz w:val="22"/>
                <w:szCs w:val="22"/>
              </w:rPr>
            </w:pPr>
          </w:p>
        </w:tc>
      </w:tr>
    </w:tbl>
    <w:p w14:paraId="11D0F60A" w14:textId="6E5E4F42" w:rsidR="008A4BD0" w:rsidRDefault="008A4BD0">
      <w:pPr>
        <w:overflowPunct/>
        <w:autoSpaceDE/>
        <w:autoSpaceDN/>
        <w:adjustRightInd/>
        <w:spacing w:after="160" w:line="259" w:lineRule="auto"/>
        <w:textAlignment w:val="auto"/>
        <w:rPr>
          <w:rFonts w:eastAsia="Arial Unicode MS"/>
        </w:rPr>
      </w:pPr>
    </w:p>
    <w:p w14:paraId="7D2D2584" w14:textId="347CD6FD" w:rsidR="00B139C2" w:rsidRDefault="00CF234C" w:rsidP="00B139C2">
      <w:pPr>
        <w:pStyle w:val="Heading2"/>
        <w:rPr>
          <w:rFonts w:eastAsia="Arial Unicode MS"/>
        </w:rPr>
      </w:pPr>
      <w:bookmarkStart w:id="23" w:name="_Toc531873935"/>
      <w:r w:rsidRPr="008770BB">
        <w:lastRenderedPageBreak/>
        <w:t>Adalimumab</w:t>
      </w:r>
      <w:r w:rsidRPr="006140D1">
        <w:t xml:space="preserve"> (Humira</w:t>
      </w:r>
      <w:r w:rsidRPr="006140D1">
        <w:rPr>
          <w:rFonts w:cs="Arial"/>
        </w:rPr>
        <w:t>®</w:t>
      </w:r>
      <w:r w:rsidR="000F6769">
        <w:rPr>
          <w:rFonts w:cs="Arial"/>
        </w:rPr>
        <w:t>; Amgevita</w:t>
      </w:r>
      <w:r w:rsidR="000F6769">
        <w:rPr>
          <w:rFonts w:cs="Arial"/>
          <w:vertAlign w:val="superscript"/>
        </w:rPr>
        <w:t>TM</w:t>
      </w:r>
      <w:r w:rsidRPr="006140D1">
        <w:t>)</w:t>
      </w:r>
      <w:bookmarkEnd w:id="23"/>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B139C2" w:rsidRPr="00884993" w14:paraId="410AAB31" w14:textId="77777777" w:rsidTr="00B139C2">
        <w:tc>
          <w:tcPr>
            <w:tcW w:w="3240" w:type="dxa"/>
            <w:shd w:val="clear" w:color="auto" w:fill="CCFFFF"/>
          </w:tcPr>
          <w:p w14:paraId="6E79D65B" w14:textId="77777777" w:rsidR="00B139C2" w:rsidRPr="00884993" w:rsidRDefault="00B139C2" w:rsidP="00094335">
            <w:pPr>
              <w:rPr>
                <w:sz w:val="22"/>
                <w:szCs w:val="22"/>
              </w:rPr>
            </w:pPr>
            <w:r w:rsidRPr="00884993">
              <w:rPr>
                <w:sz w:val="22"/>
                <w:szCs w:val="22"/>
              </w:rPr>
              <w:t>Therapeutic Class:</w:t>
            </w:r>
          </w:p>
        </w:tc>
        <w:tc>
          <w:tcPr>
            <w:tcW w:w="7200" w:type="dxa"/>
            <w:shd w:val="clear" w:color="auto" w:fill="auto"/>
          </w:tcPr>
          <w:p w14:paraId="532156C5" w14:textId="77777777" w:rsidR="00B139C2" w:rsidRPr="00884993" w:rsidRDefault="00B139C2" w:rsidP="00094335">
            <w:pPr>
              <w:rPr>
                <w:sz w:val="22"/>
                <w:szCs w:val="22"/>
              </w:rPr>
            </w:pPr>
            <w:r w:rsidRPr="00884993">
              <w:rPr>
                <w:sz w:val="22"/>
                <w:szCs w:val="22"/>
              </w:rPr>
              <w:t xml:space="preserve">Biologic - TNF  Inhibitor </w:t>
            </w:r>
          </w:p>
        </w:tc>
      </w:tr>
      <w:tr w:rsidR="00B139C2" w:rsidRPr="00884993" w14:paraId="45A678CA" w14:textId="77777777" w:rsidTr="00B139C2">
        <w:tc>
          <w:tcPr>
            <w:tcW w:w="3240" w:type="dxa"/>
            <w:shd w:val="clear" w:color="auto" w:fill="CCFFFF"/>
          </w:tcPr>
          <w:p w14:paraId="515658A8" w14:textId="77777777" w:rsidR="00B139C2" w:rsidRPr="00884993" w:rsidRDefault="00B139C2" w:rsidP="00094335">
            <w:pPr>
              <w:rPr>
                <w:sz w:val="22"/>
                <w:szCs w:val="22"/>
              </w:rPr>
            </w:pPr>
            <w:r w:rsidRPr="00884993">
              <w:rPr>
                <w:sz w:val="22"/>
                <w:szCs w:val="22"/>
              </w:rPr>
              <w:t>Licensed Indications:</w:t>
            </w:r>
          </w:p>
        </w:tc>
        <w:tc>
          <w:tcPr>
            <w:tcW w:w="7200" w:type="dxa"/>
            <w:shd w:val="clear" w:color="auto" w:fill="auto"/>
          </w:tcPr>
          <w:p w14:paraId="78940769" w14:textId="77777777" w:rsidR="00B139C2" w:rsidRPr="00884993" w:rsidRDefault="00B139C2" w:rsidP="00094335">
            <w:pPr>
              <w:rPr>
                <w:sz w:val="22"/>
                <w:szCs w:val="22"/>
              </w:rPr>
            </w:pPr>
            <w:r w:rsidRPr="00884993">
              <w:rPr>
                <w:sz w:val="22"/>
                <w:szCs w:val="22"/>
              </w:rPr>
              <w:t>Adalimumab is licensed for the following rheumatological conditions:</w:t>
            </w:r>
          </w:p>
          <w:p w14:paraId="61ED33F0" w14:textId="77777777" w:rsidR="00B139C2" w:rsidRPr="00884993" w:rsidRDefault="00B139C2" w:rsidP="00094335">
            <w:pPr>
              <w:numPr>
                <w:ilvl w:val="0"/>
                <w:numId w:val="18"/>
              </w:numPr>
              <w:rPr>
                <w:sz w:val="22"/>
                <w:szCs w:val="22"/>
              </w:rPr>
            </w:pPr>
            <w:r w:rsidRPr="00884993">
              <w:rPr>
                <w:sz w:val="22"/>
                <w:szCs w:val="22"/>
              </w:rPr>
              <w:t>RA (with or without methotrexate, but combination preferred)</w:t>
            </w:r>
          </w:p>
          <w:p w14:paraId="63EE747F" w14:textId="77777777" w:rsidR="00B139C2" w:rsidRPr="00884993" w:rsidRDefault="00B139C2" w:rsidP="00094335">
            <w:pPr>
              <w:numPr>
                <w:ilvl w:val="0"/>
                <w:numId w:val="18"/>
              </w:numPr>
              <w:rPr>
                <w:sz w:val="22"/>
                <w:szCs w:val="22"/>
              </w:rPr>
            </w:pPr>
            <w:r w:rsidRPr="00884993">
              <w:rPr>
                <w:sz w:val="22"/>
                <w:szCs w:val="22"/>
              </w:rPr>
              <w:t>Polyarticular Juvenile Idiopathic Arthritis (with or without methotrexate, but combination preferred)</w:t>
            </w:r>
          </w:p>
          <w:p w14:paraId="4DF82512" w14:textId="77777777" w:rsidR="00B139C2" w:rsidRPr="00884993" w:rsidRDefault="00B139C2" w:rsidP="00094335">
            <w:pPr>
              <w:numPr>
                <w:ilvl w:val="0"/>
                <w:numId w:val="18"/>
              </w:numPr>
              <w:rPr>
                <w:sz w:val="22"/>
                <w:szCs w:val="22"/>
              </w:rPr>
            </w:pPr>
            <w:r w:rsidRPr="00884993">
              <w:rPr>
                <w:sz w:val="22"/>
                <w:szCs w:val="22"/>
              </w:rPr>
              <w:t>Ankylosing spondylitis</w:t>
            </w:r>
          </w:p>
          <w:p w14:paraId="43B303D2" w14:textId="77777777" w:rsidR="00B139C2" w:rsidRPr="00884993" w:rsidRDefault="00B139C2" w:rsidP="00094335">
            <w:pPr>
              <w:numPr>
                <w:ilvl w:val="0"/>
                <w:numId w:val="18"/>
              </w:numPr>
              <w:rPr>
                <w:sz w:val="22"/>
                <w:szCs w:val="22"/>
              </w:rPr>
            </w:pPr>
            <w:r w:rsidRPr="00884993">
              <w:rPr>
                <w:sz w:val="22"/>
                <w:szCs w:val="22"/>
              </w:rPr>
              <w:t>Psoriatic arthritis</w:t>
            </w:r>
          </w:p>
        </w:tc>
      </w:tr>
      <w:tr w:rsidR="00B139C2" w:rsidRPr="00884993" w14:paraId="276C3DD6" w14:textId="77777777" w:rsidTr="00B139C2">
        <w:tc>
          <w:tcPr>
            <w:tcW w:w="3240" w:type="dxa"/>
            <w:shd w:val="clear" w:color="auto" w:fill="CCFFFF"/>
          </w:tcPr>
          <w:p w14:paraId="1E74ADA2" w14:textId="77777777" w:rsidR="00B139C2" w:rsidRPr="00884993" w:rsidRDefault="00B139C2" w:rsidP="00094335">
            <w:pPr>
              <w:rPr>
                <w:sz w:val="22"/>
                <w:szCs w:val="22"/>
              </w:rPr>
            </w:pPr>
            <w:r w:rsidRPr="00884993">
              <w:rPr>
                <w:sz w:val="22"/>
                <w:szCs w:val="22"/>
              </w:rPr>
              <w:t>Licensed Dose:</w:t>
            </w:r>
          </w:p>
        </w:tc>
        <w:tc>
          <w:tcPr>
            <w:tcW w:w="7200" w:type="dxa"/>
            <w:shd w:val="clear" w:color="auto" w:fill="auto"/>
          </w:tcPr>
          <w:p w14:paraId="7D35E7EE" w14:textId="77777777" w:rsidR="00B139C2" w:rsidRPr="00884993" w:rsidRDefault="00B139C2" w:rsidP="00094335">
            <w:pPr>
              <w:rPr>
                <w:sz w:val="22"/>
                <w:szCs w:val="22"/>
              </w:rPr>
            </w:pPr>
            <w:r w:rsidRPr="00884993">
              <w:rPr>
                <w:sz w:val="22"/>
                <w:szCs w:val="22"/>
              </w:rPr>
              <w:t>40 mg every other week as a single dose via subcutaneous injection</w:t>
            </w:r>
          </w:p>
          <w:p w14:paraId="180F8BA0" w14:textId="77777777" w:rsidR="00B139C2" w:rsidRPr="00884993" w:rsidRDefault="00B139C2" w:rsidP="00094335">
            <w:pPr>
              <w:rPr>
                <w:color w:val="FF0000"/>
                <w:sz w:val="22"/>
                <w:szCs w:val="22"/>
              </w:rPr>
            </w:pPr>
            <w:r w:rsidRPr="00884993">
              <w:rPr>
                <w:sz w:val="22"/>
                <w:szCs w:val="22"/>
              </w:rPr>
              <w:t>(*The licensed datasheet states that RA patients receiving adalimumab monotherapy may benefit from once weekly administration.)</w:t>
            </w:r>
          </w:p>
        </w:tc>
      </w:tr>
      <w:tr w:rsidR="00B139C2" w:rsidRPr="00884993" w14:paraId="0FA07953" w14:textId="77777777" w:rsidTr="00B139C2">
        <w:tc>
          <w:tcPr>
            <w:tcW w:w="3240" w:type="dxa"/>
            <w:shd w:val="clear" w:color="auto" w:fill="CCFFFF"/>
          </w:tcPr>
          <w:p w14:paraId="7E8D03DE" w14:textId="77777777" w:rsidR="00B139C2" w:rsidRPr="00884993" w:rsidRDefault="00B139C2" w:rsidP="00094335">
            <w:pPr>
              <w:rPr>
                <w:sz w:val="22"/>
                <w:szCs w:val="22"/>
              </w:rPr>
            </w:pPr>
            <w:r w:rsidRPr="00884993">
              <w:rPr>
                <w:sz w:val="22"/>
                <w:szCs w:val="22"/>
              </w:rPr>
              <w:t>Preparations:</w:t>
            </w:r>
          </w:p>
        </w:tc>
        <w:tc>
          <w:tcPr>
            <w:tcW w:w="7200" w:type="dxa"/>
            <w:shd w:val="clear" w:color="auto" w:fill="auto"/>
          </w:tcPr>
          <w:p w14:paraId="02DA66A5" w14:textId="77777777" w:rsidR="00B139C2" w:rsidRPr="00884993" w:rsidRDefault="00B139C2" w:rsidP="00094335">
            <w:pPr>
              <w:rPr>
                <w:sz w:val="22"/>
                <w:szCs w:val="22"/>
              </w:rPr>
            </w:pPr>
            <w:r w:rsidRPr="00884993">
              <w:rPr>
                <w:sz w:val="22"/>
                <w:szCs w:val="22"/>
              </w:rPr>
              <w:t>Pre-filled pen 40mg, prefilled syringe 40mg and single dose vial 40mg</w:t>
            </w:r>
          </w:p>
        </w:tc>
      </w:tr>
      <w:tr w:rsidR="00B139C2" w:rsidRPr="00884993" w14:paraId="75FA47A6" w14:textId="77777777" w:rsidTr="00B139C2">
        <w:tc>
          <w:tcPr>
            <w:tcW w:w="3240" w:type="dxa"/>
            <w:shd w:val="clear" w:color="auto" w:fill="CCFFFF"/>
          </w:tcPr>
          <w:p w14:paraId="1A5B0D2B" w14:textId="77777777" w:rsidR="00B139C2" w:rsidRPr="00884993" w:rsidRDefault="00B139C2" w:rsidP="00094335">
            <w:pPr>
              <w:rPr>
                <w:sz w:val="22"/>
                <w:szCs w:val="22"/>
              </w:rPr>
            </w:pPr>
            <w:r w:rsidRPr="00884993">
              <w:rPr>
                <w:sz w:val="22"/>
                <w:szCs w:val="22"/>
              </w:rPr>
              <w:t>NICE Guidance:</w:t>
            </w:r>
          </w:p>
        </w:tc>
        <w:tc>
          <w:tcPr>
            <w:tcW w:w="7200" w:type="dxa"/>
            <w:shd w:val="clear" w:color="auto" w:fill="auto"/>
          </w:tcPr>
          <w:p w14:paraId="2669F18A" w14:textId="48119D15" w:rsidR="00453E87" w:rsidRDefault="00453E87" w:rsidP="00094335">
            <w:pPr>
              <w:rPr>
                <w:color w:val="000000"/>
                <w:kern w:val="24"/>
                <w:sz w:val="22"/>
                <w:szCs w:val="22"/>
                <w:lang w:eastAsia="en-GB"/>
              </w:rPr>
            </w:pPr>
            <w:r>
              <w:rPr>
                <w:color w:val="000000"/>
                <w:kern w:val="24"/>
                <w:sz w:val="22"/>
                <w:szCs w:val="22"/>
                <w:lang w:eastAsia="en-GB"/>
              </w:rPr>
              <w:t xml:space="preserve">RA: </w:t>
            </w:r>
            <w:hyperlink r:id="rId62" w:history="1">
              <w:r w:rsidRPr="004132B1">
                <w:rPr>
                  <w:rStyle w:val="Hyperlink"/>
                  <w:kern w:val="24"/>
                  <w:sz w:val="22"/>
                  <w:szCs w:val="22"/>
                  <w:lang w:eastAsia="en-GB"/>
                </w:rPr>
                <w:t>TA375</w:t>
              </w:r>
            </w:hyperlink>
            <w:r w:rsidR="00586C73">
              <w:rPr>
                <w:rStyle w:val="Hyperlink"/>
                <w:kern w:val="24"/>
                <w:sz w:val="22"/>
                <w:szCs w:val="22"/>
                <w:lang w:eastAsia="en-GB"/>
              </w:rPr>
              <w:t xml:space="preserve"> </w:t>
            </w:r>
            <w:r w:rsidR="00586C73" w:rsidRPr="00586C73">
              <w:rPr>
                <w:rStyle w:val="Hyperlink"/>
                <w:color w:val="auto"/>
                <w:kern w:val="24"/>
                <w:sz w:val="22"/>
                <w:szCs w:val="22"/>
                <w:lang w:eastAsia="en-GB"/>
              </w:rPr>
              <w:t xml:space="preserve">and </w:t>
            </w:r>
            <w:hyperlink r:id="rId63" w:history="1">
              <w:r w:rsidR="00586C73" w:rsidRPr="001C116E">
                <w:rPr>
                  <w:rStyle w:val="Hyperlink"/>
                  <w:kern w:val="24"/>
                  <w:sz w:val="22"/>
                  <w:szCs w:val="22"/>
                  <w:lang w:eastAsia="en-GB"/>
                </w:rPr>
                <w:t>TA195</w:t>
              </w:r>
            </w:hyperlink>
            <w:r w:rsidR="00586C73">
              <w:rPr>
                <w:rStyle w:val="Hyperlink"/>
                <w:kern w:val="24"/>
                <w:sz w:val="22"/>
                <w:szCs w:val="22"/>
                <w:lang w:eastAsia="en-GB"/>
              </w:rPr>
              <w:t xml:space="preserve"> </w:t>
            </w:r>
            <w:r w:rsidR="00586C73">
              <w:rPr>
                <w:rStyle w:val="Hyperlink"/>
                <w:color w:val="auto"/>
                <w:kern w:val="24"/>
                <w:sz w:val="22"/>
                <w:szCs w:val="22"/>
                <w:lang w:eastAsia="en-GB"/>
              </w:rPr>
              <w:t>(after TNF failure if rituximab CI/failed)</w:t>
            </w:r>
          </w:p>
          <w:p w14:paraId="17D6C54C" w14:textId="77777777" w:rsidR="00604B75" w:rsidRDefault="00604B75" w:rsidP="00094335">
            <w:pPr>
              <w:rPr>
                <w:color w:val="000000"/>
                <w:kern w:val="24"/>
                <w:sz w:val="22"/>
                <w:szCs w:val="22"/>
                <w:lang w:eastAsia="en-GB"/>
              </w:rPr>
            </w:pPr>
            <w:r>
              <w:rPr>
                <w:color w:val="000000"/>
                <w:kern w:val="24"/>
                <w:sz w:val="22"/>
                <w:szCs w:val="22"/>
                <w:lang w:eastAsia="en-GB"/>
              </w:rPr>
              <w:t xml:space="preserve">PsA: </w:t>
            </w:r>
            <w:hyperlink r:id="rId64" w:history="1">
              <w:r w:rsidRPr="00604B75">
                <w:rPr>
                  <w:rStyle w:val="Hyperlink"/>
                  <w:kern w:val="24"/>
                  <w:sz w:val="22"/>
                  <w:szCs w:val="22"/>
                  <w:lang w:eastAsia="en-GB"/>
                </w:rPr>
                <w:t>TA199</w:t>
              </w:r>
            </w:hyperlink>
          </w:p>
          <w:p w14:paraId="558F98BE" w14:textId="77777777" w:rsidR="00B139C2" w:rsidRDefault="001C116E" w:rsidP="00094335">
            <w:pPr>
              <w:rPr>
                <w:rStyle w:val="Hyperlink"/>
                <w:kern w:val="24"/>
                <w:sz w:val="22"/>
                <w:szCs w:val="22"/>
                <w:lang w:eastAsia="en-GB"/>
              </w:rPr>
            </w:pPr>
            <w:r>
              <w:rPr>
                <w:color w:val="000000"/>
                <w:kern w:val="24"/>
                <w:sz w:val="22"/>
                <w:szCs w:val="22"/>
                <w:lang w:eastAsia="en-GB"/>
              </w:rPr>
              <w:t xml:space="preserve">AS and nrAS: </w:t>
            </w:r>
            <w:hyperlink r:id="rId65" w:history="1">
              <w:r w:rsidRPr="00604B75">
                <w:rPr>
                  <w:rStyle w:val="Hyperlink"/>
                  <w:kern w:val="24"/>
                  <w:sz w:val="22"/>
                  <w:szCs w:val="22"/>
                  <w:lang w:eastAsia="en-GB"/>
                </w:rPr>
                <w:t>TA383</w:t>
              </w:r>
            </w:hyperlink>
          </w:p>
          <w:p w14:paraId="469FA7EF" w14:textId="0026765E" w:rsidR="00586C73" w:rsidRPr="00884993" w:rsidRDefault="00586C73" w:rsidP="00094335">
            <w:pPr>
              <w:rPr>
                <w:sz w:val="22"/>
                <w:szCs w:val="22"/>
              </w:rPr>
            </w:pPr>
            <w:r w:rsidRPr="00884993">
              <w:rPr>
                <w:sz w:val="22"/>
                <w:szCs w:val="22"/>
              </w:rPr>
              <w:t>JIA</w:t>
            </w:r>
            <w:r>
              <w:rPr>
                <w:sz w:val="22"/>
                <w:szCs w:val="22"/>
              </w:rPr>
              <w:t>:</w:t>
            </w:r>
            <w:r w:rsidRPr="00884993">
              <w:rPr>
                <w:sz w:val="22"/>
                <w:szCs w:val="22"/>
              </w:rPr>
              <w:t xml:space="preserve"> </w:t>
            </w:r>
            <w:hyperlink r:id="rId66" w:history="1">
              <w:r w:rsidRPr="00586C73">
                <w:rPr>
                  <w:rStyle w:val="Hyperlink"/>
                  <w:sz w:val="22"/>
                  <w:szCs w:val="22"/>
                </w:rPr>
                <w:t>TA373</w:t>
              </w:r>
            </w:hyperlink>
          </w:p>
        </w:tc>
      </w:tr>
      <w:tr w:rsidR="00B139C2" w:rsidRPr="00884993" w14:paraId="71314BD3" w14:textId="77777777" w:rsidTr="00B139C2">
        <w:trPr>
          <w:trHeight w:val="90"/>
        </w:trPr>
        <w:tc>
          <w:tcPr>
            <w:tcW w:w="3240" w:type="dxa"/>
            <w:shd w:val="clear" w:color="auto" w:fill="CCFFFF"/>
          </w:tcPr>
          <w:p w14:paraId="1D9BA49E" w14:textId="77777777" w:rsidR="00B139C2" w:rsidRPr="00884993" w:rsidRDefault="00B139C2" w:rsidP="00094335">
            <w:pPr>
              <w:rPr>
                <w:sz w:val="22"/>
                <w:szCs w:val="22"/>
              </w:rPr>
            </w:pPr>
            <w:r w:rsidRPr="00884993">
              <w:rPr>
                <w:sz w:val="22"/>
                <w:szCs w:val="22"/>
              </w:rPr>
              <w:t>Warnings/Contra-indications/Significant drug interactions:</w:t>
            </w:r>
          </w:p>
          <w:p w14:paraId="7706F7DE" w14:textId="77777777" w:rsidR="00B139C2" w:rsidRPr="00884993" w:rsidRDefault="00B139C2" w:rsidP="00094335">
            <w:pPr>
              <w:rPr>
                <w:sz w:val="22"/>
                <w:szCs w:val="22"/>
              </w:rPr>
            </w:pPr>
            <w:r w:rsidRPr="00884993">
              <w:rPr>
                <w:sz w:val="22"/>
                <w:szCs w:val="22"/>
              </w:rPr>
              <w:t>(*Refer to licensed datasheet for special warnings)</w:t>
            </w:r>
          </w:p>
        </w:tc>
        <w:tc>
          <w:tcPr>
            <w:tcW w:w="7200" w:type="dxa"/>
            <w:shd w:val="clear" w:color="auto" w:fill="auto"/>
          </w:tcPr>
          <w:p w14:paraId="616001DF" w14:textId="7B1013A2" w:rsidR="00B139C2" w:rsidRPr="00884993" w:rsidRDefault="00B139C2" w:rsidP="00094335">
            <w:pPr>
              <w:rPr>
                <w:sz w:val="22"/>
                <w:szCs w:val="22"/>
              </w:rPr>
            </w:pPr>
            <w:r w:rsidRPr="00884993">
              <w:rPr>
                <w:sz w:val="22"/>
                <w:szCs w:val="22"/>
              </w:rPr>
              <w:t>●Hypersensitivity to the active substance or to any of the excipients ●.Active tuberculosis or other severe infections such as sepsis, and opportunistic infections ●. Moderate to severe heart failure (NYHA class III/IV)</w:t>
            </w:r>
          </w:p>
          <w:p w14:paraId="3B34BC87" w14:textId="77777777" w:rsidR="00B139C2" w:rsidRPr="00884993" w:rsidRDefault="00B139C2" w:rsidP="00094335">
            <w:pPr>
              <w:rPr>
                <w:sz w:val="22"/>
                <w:szCs w:val="22"/>
              </w:rPr>
            </w:pPr>
            <w:r w:rsidRPr="00884993">
              <w:rPr>
                <w:sz w:val="22"/>
                <w:szCs w:val="22"/>
              </w:rPr>
              <w:t>* Patients treated with adalimumab should be given the special alert card.</w:t>
            </w:r>
          </w:p>
        </w:tc>
      </w:tr>
      <w:tr w:rsidR="00B139C2" w:rsidRPr="00884993" w14:paraId="32A3EA27" w14:textId="77777777" w:rsidTr="00B139C2">
        <w:tc>
          <w:tcPr>
            <w:tcW w:w="3240" w:type="dxa"/>
            <w:shd w:val="clear" w:color="auto" w:fill="CCFFFF"/>
          </w:tcPr>
          <w:p w14:paraId="4C995868" w14:textId="77777777" w:rsidR="00B139C2" w:rsidRPr="00884993" w:rsidRDefault="00B139C2" w:rsidP="00094335">
            <w:pPr>
              <w:rPr>
                <w:sz w:val="22"/>
                <w:szCs w:val="22"/>
              </w:rPr>
            </w:pPr>
            <w:r w:rsidRPr="00884993">
              <w:rPr>
                <w:sz w:val="22"/>
                <w:szCs w:val="22"/>
              </w:rPr>
              <w:t>Assessment of Response:</w:t>
            </w:r>
          </w:p>
        </w:tc>
        <w:tc>
          <w:tcPr>
            <w:tcW w:w="7200" w:type="dxa"/>
            <w:shd w:val="clear" w:color="auto" w:fill="auto"/>
          </w:tcPr>
          <w:p w14:paraId="31E17DCD" w14:textId="77777777" w:rsidR="00B139C2" w:rsidRPr="00884993" w:rsidRDefault="00B139C2" w:rsidP="00094335">
            <w:pPr>
              <w:rPr>
                <w:sz w:val="22"/>
                <w:szCs w:val="22"/>
              </w:rPr>
            </w:pPr>
            <w:r w:rsidRPr="00884993">
              <w:rPr>
                <w:sz w:val="22"/>
                <w:szCs w:val="22"/>
              </w:rPr>
              <w:t>Full assessment of response at weeks 12 and 24, with treatment withdrawal if response is inadequate (reduction in DAS28&lt;1.2 or overall DAS28&gt;3.2). If response to treatment is not maintained, a repeat assessment should occur.</w:t>
            </w:r>
          </w:p>
        </w:tc>
      </w:tr>
      <w:tr w:rsidR="00B139C2" w:rsidRPr="00884993" w14:paraId="4A39A205" w14:textId="77777777" w:rsidTr="00B139C2">
        <w:tc>
          <w:tcPr>
            <w:tcW w:w="3240" w:type="dxa"/>
            <w:shd w:val="clear" w:color="auto" w:fill="CCFFFF"/>
          </w:tcPr>
          <w:p w14:paraId="555ABB59" w14:textId="77777777" w:rsidR="00B139C2" w:rsidRPr="00884993" w:rsidRDefault="00B139C2" w:rsidP="00094335">
            <w:pPr>
              <w:rPr>
                <w:sz w:val="22"/>
                <w:szCs w:val="22"/>
              </w:rPr>
            </w:pPr>
            <w:r w:rsidRPr="00884993">
              <w:rPr>
                <w:sz w:val="22"/>
                <w:szCs w:val="22"/>
              </w:rPr>
              <w:t>Baseline Tests:</w:t>
            </w:r>
          </w:p>
        </w:tc>
        <w:tc>
          <w:tcPr>
            <w:tcW w:w="7200" w:type="dxa"/>
            <w:shd w:val="clear" w:color="auto" w:fill="auto"/>
          </w:tcPr>
          <w:p w14:paraId="14D235BA" w14:textId="77777777" w:rsidR="00B139C2" w:rsidRPr="00884993" w:rsidRDefault="00B139C2" w:rsidP="00094335">
            <w:pPr>
              <w:numPr>
                <w:ilvl w:val="0"/>
                <w:numId w:val="16"/>
              </w:numPr>
              <w:overflowPunct/>
              <w:autoSpaceDE/>
              <w:autoSpaceDN/>
              <w:adjustRightInd/>
              <w:textAlignment w:val="auto"/>
              <w:rPr>
                <w:sz w:val="22"/>
                <w:szCs w:val="22"/>
              </w:rPr>
            </w:pPr>
            <w:r w:rsidRPr="00884993">
              <w:rPr>
                <w:sz w:val="22"/>
                <w:szCs w:val="22"/>
              </w:rPr>
              <w:t>Full clinical/infection screen</w:t>
            </w:r>
          </w:p>
          <w:p w14:paraId="5F63E5BA" w14:textId="77777777" w:rsidR="00B139C2" w:rsidRPr="00884993" w:rsidRDefault="00B139C2" w:rsidP="00094335">
            <w:pPr>
              <w:numPr>
                <w:ilvl w:val="0"/>
                <w:numId w:val="16"/>
              </w:numPr>
              <w:overflowPunct/>
              <w:autoSpaceDE/>
              <w:autoSpaceDN/>
              <w:adjustRightInd/>
              <w:textAlignment w:val="auto"/>
              <w:rPr>
                <w:sz w:val="22"/>
                <w:szCs w:val="22"/>
              </w:rPr>
            </w:pPr>
            <w:r w:rsidRPr="00884993">
              <w:rPr>
                <w:sz w:val="22"/>
                <w:szCs w:val="22"/>
              </w:rPr>
              <w:t>Urinalysis &amp; BP</w:t>
            </w:r>
          </w:p>
          <w:p w14:paraId="16710383" w14:textId="77777777" w:rsidR="00B139C2" w:rsidRPr="00884993" w:rsidRDefault="00B139C2" w:rsidP="00094335">
            <w:pPr>
              <w:numPr>
                <w:ilvl w:val="0"/>
                <w:numId w:val="16"/>
              </w:numPr>
              <w:overflowPunct/>
              <w:autoSpaceDE/>
              <w:autoSpaceDN/>
              <w:adjustRightInd/>
              <w:textAlignment w:val="auto"/>
              <w:rPr>
                <w:sz w:val="22"/>
                <w:szCs w:val="22"/>
                <w:lang w:val="sv-SE"/>
              </w:rPr>
            </w:pPr>
            <w:r w:rsidRPr="00884993">
              <w:rPr>
                <w:sz w:val="22"/>
                <w:szCs w:val="22"/>
                <w:lang w:val="sv-SE"/>
              </w:rPr>
              <w:t>FBC/U&amp;E/LFT/ANA/DNA</w:t>
            </w:r>
          </w:p>
          <w:p w14:paraId="08A0847F" w14:textId="77777777" w:rsidR="00B139C2" w:rsidRPr="00884993" w:rsidRDefault="00B139C2" w:rsidP="00094335">
            <w:pPr>
              <w:numPr>
                <w:ilvl w:val="0"/>
                <w:numId w:val="16"/>
              </w:numPr>
              <w:overflowPunct/>
              <w:autoSpaceDE/>
              <w:autoSpaceDN/>
              <w:adjustRightInd/>
              <w:textAlignment w:val="auto"/>
              <w:rPr>
                <w:sz w:val="22"/>
                <w:szCs w:val="22"/>
              </w:rPr>
            </w:pPr>
            <w:r w:rsidRPr="00884993">
              <w:rPr>
                <w:sz w:val="22"/>
                <w:szCs w:val="22"/>
              </w:rPr>
              <w:t>CXR (evidence TB/fibrosis)</w:t>
            </w:r>
          </w:p>
          <w:p w14:paraId="1107AFB1" w14:textId="77777777" w:rsidR="00B139C2" w:rsidRPr="00884993" w:rsidRDefault="00B139C2" w:rsidP="00094335">
            <w:pPr>
              <w:numPr>
                <w:ilvl w:val="0"/>
                <w:numId w:val="16"/>
              </w:numPr>
              <w:overflowPunct/>
              <w:autoSpaceDE/>
              <w:autoSpaceDN/>
              <w:adjustRightInd/>
              <w:textAlignment w:val="auto"/>
              <w:rPr>
                <w:sz w:val="22"/>
                <w:szCs w:val="22"/>
              </w:rPr>
            </w:pPr>
            <w:r w:rsidRPr="00884993">
              <w:rPr>
                <w:sz w:val="22"/>
                <w:szCs w:val="22"/>
              </w:rPr>
              <w:t>Quantiferon or TB spot when indicated</w:t>
            </w:r>
          </w:p>
          <w:p w14:paraId="6EEBCB93" w14:textId="77777777" w:rsidR="00B139C2" w:rsidRPr="00884993" w:rsidRDefault="00B139C2" w:rsidP="00094335">
            <w:pPr>
              <w:numPr>
                <w:ilvl w:val="0"/>
                <w:numId w:val="16"/>
              </w:numPr>
              <w:overflowPunct/>
              <w:autoSpaceDE/>
              <w:autoSpaceDN/>
              <w:adjustRightInd/>
              <w:textAlignment w:val="auto"/>
              <w:rPr>
                <w:sz w:val="22"/>
                <w:szCs w:val="22"/>
              </w:rPr>
            </w:pPr>
            <w:r w:rsidRPr="00884993">
              <w:rPr>
                <w:sz w:val="22"/>
                <w:szCs w:val="22"/>
              </w:rPr>
              <w:t>Hepatitis B and C + consider HIV</w:t>
            </w:r>
          </w:p>
          <w:p w14:paraId="66EDC208" w14:textId="77777777" w:rsidR="00B139C2" w:rsidRPr="00884993" w:rsidRDefault="00B139C2" w:rsidP="00094335">
            <w:pPr>
              <w:numPr>
                <w:ilvl w:val="0"/>
                <w:numId w:val="16"/>
              </w:numPr>
              <w:overflowPunct/>
              <w:autoSpaceDE/>
              <w:autoSpaceDN/>
              <w:adjustRightInd/>
              <w:textAlignment w:val="auto"/>
              <w:rPr>
                <w:sz w:val="22"/>
                <w:szCs w:val="22"/>
              </w:rPr>
            </w:pPr>
            <w:r w:rsidRPr="00884993">
              <w:rPr>
                <w:sz w:val="22"/>
                <w:szCs w:val="22"/>
              </w:rPr>
              <w:t>Pregnancy test if indicated</w:t>
            </w:r>
          </w:p>
        </w:tc>
      </w:tr>
      <w:tr w:rsidR="00B139C2" w:rsidRPr="00884993" w14:paraId="59CB19D9" w14:textId="77777777" w:rsidTr="00B139C2">
        <w:tc>
          <w:tcPr>
            <w:tcW w:w="3240" w:type="dxa"/>
            <w:shd w:val="clear" w:color="auto" w:fill="CCFFFF"/>
          </w:tcPr>
          <w:p w14:paraId="20096FFC" w14:textId="77777777" w:rsidR="00B139C2" w:rsidRPr="00884993" w:rsidRDefault="00B139C2" w:rsidP="00094335">
            <w:pPr>
              <w:rPr>
                <w:sz w:val="22"/>
                <w:szCs w:val="22"/>
              </w:rPr>
            </w:pPr>
            <w:r w:rsidRPr="00884993">
              <w:rPr>
                <w:sz w:val="22"/>
                <w:szCs w:val="22"/>
              </w:rPr>
              <w:t>Routine Monitoring:</w:t>
            </w:r>
          </w:p>
        </w:tc>
        <w:tc>
          <w:tcPr>
            <w:tcW w:w="7200" w:type="dxa"/>
            <w:shd w:val="clear" w:color="auto" w:fill="auto"/>
          </w:tcPr>
          <w:p w14:paraId="2519EC0B" w14:textId="77777777" w:rsidR="00B139C2" w:rsidRPr="00884993" w:rsidRDefault="00B139C2" w:rsidP="00094335">
            <w:pPr>
              <w:numPr>
                <w:ilvl w:val="0"/>
                <w:numId w:val="17"/>
              </w:numPr>
              <w:overflowPunct/>
              <w:autoSpaceDE/>
              <w:autoSpaceDN/>
              <w:adjustRightInd/>
              <w:textAlignment w:val="auto"/>
              <w:rPr>
                <w:sz w:val="22"/>
                <w:szCs w:val="22"/>
              </w:rPr>
            </w:pPr>
            <w:r w:rsidRPr="00884993">
              <w:rPr>
                <w:sz w:val="22"/>
                <w:szCs w:val="22"/>
              </w:rPr>
              <w:t>Usual tests for methotrexate or other DMARD</w:t>
            </w:r>
          </w:p>
          <w:p w14:paraId="6E811F23" w14:textId="2B5F1CE6" w:rsidR="00B139C2" w:rsidRPr="00884993" w:rsidRDefault="00B139C2" w:rsidP="00094335">
            <w:pPr>
              <w:numPr>
                <w:ilvl w:val="0"/>
                <w:numId w:val="17"/>
              </w:numPr>
              <w:overflowPunct/>
              <w:autoSpaceDE/>
              <w:autoSpaceDN/>
              <w:adjustRightInd/>
              <w:textAlignment w:val="auto"/>
              <w:rPr>
                <w:sz w:val="22"/>
                <w:szCs w:val="22"/>
              </w:rPr>
            </w:pPr>
            <w:r w:rsidRPr="00884993">
              <w:rPr>
                <w:sz w:val="22"/>
                <w:szCs w:val="22"/>
              </w:rPr>
              <w:t xml:space="preserve">If monotherapy FBC/LTF at 1,3 and 6 </w:t>
            </w:r>
            <w:r w:rsidR="00D12A10">
              <w:rPr>
                <w:sz w:val="22"/>
                <w:szCs w:val="22"/>
              </w:rPr>
              <w:t>months, then 6</w:t>
            </w:r>
            <w:r w:rsidRPr="00884993">
              <w:rPr>
                <w:sz w:val="22"/>
                <w:szCs w:val="22"/>
              </w:rPr>
              <w:t xml:space="preserve"> monthly</w:t>
            </w:r>
          </w:p>
          <w:p w14:paraId="6A9463F2" w14:textId="1B5E5FF9" w:rsidR="00B139C2" w:rsidRPr="00884993" w:rsidRDefault="000F6769" w:rsidP="00094335">
            <w:pPr>
              <w:numPr>
                <w:ilvl w:val="0"/>
                <w:numId w:val="17"/>
              </w:numPr>
              <w:overflowPunct/>
              <w:autoSpaceDE/>
              <w:autoSpaceDN/>
              <w:adjustRightInd/>
              <w:textAlignment w:val="auto"/>
              <w:rPr>
                <w:sz w:val="22"/>
                <w:szCs w:val="22"/>
              </w:rPr>
            </w:pPr>
            <w:r>
              <w:rPr>
                <w:sz w:val="22"/>
                <w:szCs w:val="22"/>
              </w:rPr>
              <w:t>Consider checking pre-dose drug levels and adalimumab levels especially if secondary non-response clinically</w:t>
            </w:r>
          </w:p>
        </w:tc>
      </w:tr>
      <w:tr w:rsidR="00B139C2" w:rsidRPr="00884993" w14:paraId="565D1D4B" w14:textId="77777777" w:rsidTr="00B139C2">
        <w:tc>
          <w:tcPr>
            <w:tcW w:w="3240" w:type="dxa"/>
            <w:shd w:val="clear" w:color="auto" w:fill="CCFFFF"/>
          </w:tcPr>
          <w:p w14:paraId="5FAB78FD" w14:textId="77777777" w:rsidR="00B139C2" w:rsidRPr="00884993" w:rsidRDefault="00B139C2" w:rsidP="00094335">
            <w:pPr>
              <w:rPr>
                <w:sz w:val="22"/>
                <w:szCs w:val="22"/>
              </w:rPr>
            </w:pPr>
            <w:r w:rsidRPr="00884993">
              <w:rPr>
                <w:sz w:val="22"/>
                <w:szCs w:val="22"/>
              </w:rPr>
              <w:t>Indications for Stopping Therapy:</w:t>
            </w:r>
          </w:p>
        </w:tc>
        <w:tc>
          <w:tcPr>
            <w:tcW w:w="7200" w:type="dxa"/>
            <w:shd w:val="clear" w:color="auto" w:fill="auto"/>
          </w:tcPr>
          <w:p w14:paraId="504D75F9" w14:textId="77777777" w:rsidR="00B139C2" w:rsidRPr="00884993" w:rsidRDefault="00B139C2" w:rsidP="00094335">
            <w:pPr>
              <w:overflowPunct/>
              <w:autoSpaceDE/>
              <w:autoSpaceDN/>
              <w:adjustRightInd/>
              <w:textAlignment w:val="auto"/>
              <w:rPr>
                <w:b/>
                <w:sz w:val="22"/>
                <w:szCs w:val="22"/>
              </w:rPr>
            </w:pPr>
            <w:r w:rsidRPr="00884993">
              <w:rPr>
                <w:b/>
                <w:sz w:val="22"/>
                <w:szCs w:val="22"/>
              </w:rPr>
              <w:t xml:space="preserve">Stop if: </w:t>
            </w:r>
          </w:p>
          <w:p w14:paraId="46B3B928" w14:textId="77777777" w:rsidR="00B139C2" w:rsidRPr="00884993" w:rsidRDefault="00B139C2" w:rsidP="00094335">
            <w:pPr>
              <w:overflowPunct/>
              <w:autoSpaceDE/>
              <w:autoSpaceDN/>
              <w:adjustRightInd/>
              <w:textAlignment w:val="auto"/>
              <w:rPr>
                <w:sz w:val="22"/>
                <w:szCs w:val="22"/>
              </w:rPr>
            </w:pPr>
            <w:r w:rsidRPr="00884993">
              <w:rPr>
                <w:b/>
                <w:sz w:val="22"/>
                <w:szCs w:val="22"/>
              </w:rPr>
              <w:t>●</w:t>
            </w:r>
            <w:r w:rsidRPr="00884993">
              <w:rPr>
                <w:sz w:val="22"/>
                <w:szCs w:val="22"/>
              </w:rPr>
              <w:t xml:space="preserve">Evidence of infection </w:t>
            </w:r>
          </w:p>
          <w:p w14:paraId="77D31C5A" w14:textId="77777777" w:rsidR="00B139C2" w:rsidRPr="00884993" w:rsidRDefault="00B139C2" w:rsidP="00094335">
            <w:pPr>
              <w:overflowPunct/>
              <w:autoSpaceDE/>
              <w:autoSpaceDN/>
              <w:adjustRightInd/>
              <w:textAlignment w:val="auto"/>
              <w:rPr>
                <w:sz w:val="22"/>
                <w:szCs w:val="22"/>
              </w:rPr>
            </w:pPr>
            <w:r w:rsidRPr="00884993">
              <w:rPr>
                <w:sz w:val="22"/>
                <w:szCs w:val="22"/>
              </w:rPr>
              <w:t xml:space="preserve">●Possible demyelination </w:t>
            </w:r>
          </w:p>
          <w:p w14:paraId="78F3AD51" w14:textId="77777777" w:rsidR="00B139C2" w:rsidRPr="00884993" w:rsidRDefault="00B139C2" w:rsidP="00094335">
            <w:pPr>
              <w:overflowPunct/>
              <w:autoSpaceDE/>
              <w:autoSpaceDN/>
              <w:adjustRightInd/>
              <w:textAlignment w:val="auto"/>
              <w:rPr>
                <w:sz w:val="22"/>
                <w:szCs w:val="22"/>
              </w:rPr>
            </w:pPr>
            <w:r w:rsidRPr="00884993">
              <w:rPr>
                <w:sz w:val="22"/>
                <w:szCs w:val="22"/>
              </w:rPr>
              <w:t xml:space="preserve">●SLE / new autoimmune syndrome </w:t>
            </w:r>
          </w:p>
          <w:p w14:paraId="374CE9BF" w14:textId="77777777" w:rsidR="00B139C2" w:rsidRPr="00884993" w:rsidRDefault="00B139C2" w:rsidP="00094335">
            <w:pPr>
              <w:overflowPunct/>
              <w:autoSpaceDE/>
              <w:autoSpaceDN/>
              <w:adjustRightInd/>
              <w:textAlignment w:val="auto"/>
              <w:rPr>
                <w:sz w:val="22"/>
                <w:szCs w:val="22"/>
              </w:rPr>
            </w:pPr>
            <w:r w:rsidRPr="00884993">
              <w:rPr>
                <w:sz w:val="22"/>
                <w:szCs w:val="22"/>
              </w:rPr>
              <w:t xml:space="preserve">●Severe injection site reaction (If minor reaction try oral anti-histamine or topical corticosteroids) </w:t>
            </w:r>
          </w:p>
          <w:p w14:paraId="1CB01ED4" w14:textId="77777777" w:rsidR="00B139C2" w:rsidRPr="00884993" w:rsidRDefault="00B139C2" w:rsidP="00094335">
            <w:pPr>
              <w:overflowPunct/>
              <w:autoSpaceDE/>
              <w:autoSpaceDN/>
              <w:adjustRightInd/>
              <w:textAlignment w:val="auto"/>
              <w:rPr>
                <w:sz w:val="22"/>
                <w:szCs w:val="22"/>
              </w:rPr>
            </w:pPr>
            <w:r w:rsidRPr="00884993">
              <w:rPr>
                <w:sz w:val="22"/>
                <w:szCs w:val="22"/>
              </w:rPr>
              <w:t xml:space="preserve">●Rash  - caution very rarely Steven Johnsons Syndrome </w:t>
            </w:r>
          </w:p>
          <w:p w14:paraId="2B9B67B6" w14:textId="77777777" w:rsidR="00B139C2" w:rsidRPr="00884993" w:rsidRDefault="00B139C2" w:rsidP="00094335">
            <w:pPr>
              <w:rPr>
                <w:sz w:val="22"/>
                <w:szCs w:val="22"/>
              </w:rPr>
            </w:pPr>
            <w:r w:rsidRPr="00884993">
              <w:rPr>
                <w:sz w:val="22"/>
                <w:szCs w:val="22"/>
              </w:rPr>
              <w:t>WCC           &lt;3.5 10</w:t>
            </w:r>
            <w:r w:rsidRPr="00884993">
              <w:rPr>
                <w:sz w:val="22"/>
                <w:szCs w:val="22"/>
                <w:vertAlign w:val="superscript"/>
              </w:rPr>
              <w:t>9/</w:t>
            </w:r>
            <w:r w:rsidRPr="00884993">
              <w:rPr>
                <w:sz w:val="22"/>
                <w:szCs w:val="22"/>
              </w:rPr>
              <w:t>L or below local normal range</w:t>
            </w:r>
          </w:p>
          <w:p w14:paraId="03E6698B" w14:textId="77777777" w:rsidR="00B139C2" w:rsidRPr="00884993" w:rsidRDefault="00B139C2" w:rsidP="00094335">
            <w:pPr>
              <w:rPr>
                <w:sz w:val="22"/>
                <w:szCs w:val="22"/>
              </w:rPr>
            </w:pPr>
            <w:r w:rsidRPr="00884993">
              <w:rPr>
                <w:sz w:val="22"/>
                <w:szCs w:val="22"/>
              </w:rPr>
              <w:t>Neutrophils &lt; 2.0 10</w:t>
            </w:r>
            <w:r w:rsidRPr="00884993">
              <w:rPr>
                <w:sz w:val="22"/>
                <w:szCs w:val="22"/>
                <w:vertAlign w:val="superscript"/>
              </w:rPr>
              <w:t>9/</w:t>
            </w:r>
            <w:r w:rsidRPr="00884993">
              <w:rPr>
                <w:sz w:val="22"/>
                <w:szCs w:val="22"/>
              </w:rPr>
              <w:t>L or below local normal range</w:t>
            </w:r>
          </w:p>
          <w:p w14:paraId="396BA45B" w14:textId="77777777" w:rsidR="00B139C2" w:rsidRPr="00884993" w:rsidRDefault="00B139C2" w:rsidP="00094335">
            <w:pPr>
              <w:rPr>
                <w:sz w:val="22"/>
                <w:szCs w:val="22"/>
              </w:rPr>
            </w:pPr>
            <w:r w:rsidRPr="00884993">
              <w:rPr>
                <w:sz w:val="22"/>
                <w:szCs w:val="22"/>
              </w:rPr>
              <w:t>Platelets      &lt;150 10</w:t>
            </w:r>
            <w:r w:rsidRPr="00884993">
              <w:rPr>
                <w:sz w:val="22"/>
                <w:szCs w:val="22"/>
                <w:vertAlign w:val="superscript"/>
              </w:rPr>
              <w:t>9/</w:t>
            </w:r>
            <w:r w:rsidRPr="00884993">
              <w:rPr>
                <w:sz w:val="22"/>
                <w:szCs w:val="22"/>
              </w:rPr>
              <w:t>L or below local normal range</w:t>
            </w:r>
          </w:p>
          <w:p w14:paraId="718D0D00" w14:textId="77777777" w:rsidR="00B139C2" w:rsidRPr="00884993" w:rsidRDefault="00B139C2" w:rsidP="00094335">
            <w:pPr>
              <w:overflowPunct/>
              <w:autoSpaceDE/>
              <w:autoSpaceDN/>
              <w:adjustRightInd/>
              <w:textAlignment w:val="auto"/>
              <w:rPr>
                <w:sz w:val="22"/>
                <w:szCs w:val="22"/>
              </w:rPr>
            </w:pPr>
            <w:r w:rsidRPr="00884993">
              <w:rPr>
                <w:sz w:val="22"/>
                <w:szCs w:val="22"/>
              </w:rPr>
              <w:t>AST or ALT &gt; 3 times normal range (iu/L)</w:t>
            </w:r>
          </w:p>
          <w:p w14:paraId="4B389FF3" w14:textId="77777777" w:rsidR="00B139C2" w:rsidRPr="00884993" w:rsidRDefault="00B139C2" w:rsidP="00094335">
            <w:pPr>
              <w:overflowPunct/>
              <w:autoSpaceDE/>
              <w:autoSpaceDN/>
              <w:adjustRightInd/>
              <w:textAlignment w:val="auto"/>
              <w:rPr>
                <w:sz w:val="22"/>
                <w:szCs w:val="22"/>
              </w:rPr>
            </w:pPr>
            <w:r w:rsidRPr="00884993">
              <w:rPr>
                <w:b/>
                <w:sz w:val="22"/>
                <w:szCs w:val="22"/>
              </w:rPr>
              <w:t>CONTACT THE RHEUMATOLOGY SERVICE</w:t>
            </w:r>
          </w:p>
        </w:tc>
      </w:tr>
      <w:tr w:rsidR="00B139C2" w:rsidRPr="00884993" w14:paraId="49848B34" w14:textId="77777777" w:rsidTr="00B139C2">
        <w:tc>
          <w:tcPr>
            <w:tcW w:w="10440" w:type="dxa"/>
            <w:gridSpan w:val="2"/>
            <w:shd w:val="clear" w:color="auto" w:fill="auto"/>
          </w:tcPr>
          <w:p w14:paraId="4D39B54A" w14:textId="77777777" w:rsidR="00B139C2" w:rsidRPr="00884993" w:rsidRDefault="00B139C2" w:rsidP="00094335">
            <w:pPr>
              <w:rPr>
                <w:sz w:val="22"/>
                <w:szCs w:val="22"/>
              </w:rPr>
            </w:pPr>
            <w:r w:rsidRPr="00884993">
              <w:rPr>
                <w:sz w:val="22"/>
                <w:szCs w:val="22"/>
              </w:rPr>
              <w:t>Please refer to licensed datasheet for more comprehensive prescribing information:</w:t>
            </w:r>
          </w:p>
          <w:p w14:paraId="39ECB911" w14:textId="77777777" w:rsidR="00B139C2" w:rsidRPr="00884993" w:rsidRDefault="00B139C2" w:rsidP="00094335">
            <w:pPr>
              <w:rPr>
                <w:sz w:val="22"/>
                <w:szCs w:val="22"/>
              </w:rPr>
            </w:pPr>
            <w:r w:rsidRPr="00884993">
              <w:rPr>
                <w:sz w:val="22"/>
                <w:szCs w:val="22"/>
              </w:rPr>
              <w:t>http://www.medicines.org.uk/EMC/medicine/21201/SPC/Humira+Pre-filled+Pen%2c+Pre-filled+Syringe+and+Vial/#FORM</w:t>
            </w:r>
          </w:p>
        </w:tc>
      </w:tr>
    </w:tbl>
    <w:p w14:paraId="073E0DC9" w14:textId="77777777" w:rsidR="00884993" w:rsidRDefault="00884993">
      <w:pPr>
        <w:overflowPunct/>
        <w:autoSpaceDE/>
        <w:autoSpaceDN/>
        <w:adjustRightInd/>
        <w:spacing w:after="160" w:line="259" w:lineRule="auto"/>
        <w:textAlignment w:val="auto"/>
        <w:rPr>
          <w:rFonts w:eastAsiaTheme="majorEastAsia" w:cstheme="majorBidi"/>
          <w:b/>
          <w:sz w:val="26"/>
          <w:szCs w:val="26"/>
        </w:rPr>
      </w:pPr>
      <w:r>
        <w:br w:type="page"/>
      </w:r>
    </w:p>
    <w:p w14:paraId="4520BCBA" w14:textId="21CEBD81" w:rsidR="00B139C2" w:rsidRDefault="00CF234C" w:rsidP="00B139C2">
      <w:pPr>
        <w:pStyle w:val="Heading2"/>
        <w:rPr>
          <w:rFonts w:eastAsia="Arial Unicode MS"/>
        </w:rPr>
      </w:pPr>
      <w:bookmarkStart w:id="24" w:name="_Toc531873936"/>
      <w:r w:rsidRPr="000B5112">
        <w:lastRenderedPageBreak/>
        <w:t>Belimumb (Benlysta®)</w:t>
      </w:r>
      <w:bookmarkEnd w:id="24"/>
      <w:r w:rsidRPr="000B5112">
        <w:t xml:space="preserve"> </w:t>
      </w:r>
    </w:p>
    <w:p w14:paraId="2646D01C" w14:textId="773EA9AD" w:rsidR="0084011C" w:rsidRDefault="0084011C" w:rsidP="0084011C">
      <w:pPr>
        <w:rPr>
          <w:lang w:val="it-IT"/>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8"/>
        <w:gridCol w:w="5228"/>
      </w:tblGrid>
      <w:tr w:rsidR="00F9139F" w:rsidRPr="00884993" w14:paraId="62CAE732" w14:textId="77777777" w:rsidTr="00717EEC">
        <w:trPr>
          <w:trHeight w:val="511"/>
        </w:trPr>
        <w:tc>
          <w:tcPr>
            <w:tcW w:w="5198" w:type="dxa"/>
            <w:shd w:val="clear" w:color="auto" w:fill="CCFFFF"/>
          </w:tcPr>
          <w:p w14:paraId="5EB2460F" w14:textId="77777777" w:rsidR="00F9139F" w:rsidRPr="00884993" w:rsidRDefault="00F9139F" w:rsidP="00717EEC">
            <w:pPr>
              <w:rPr>
                <w:sz w:val="22"/>
                <w:szCs w:val="22"/>
              </w:rPr>
            </w:pPr>
            <w:r w:rsidRPr="00884993">
              <w:rPr>
                <w:sz w:val="22"/>
                <w:szCs w:val="22"/>
              </w:rPr>
              <w:t>Therapeutic class:</w:t>
            </w:r>
          </w:p>
        </w:tc>
        <w:tc>
          <w:tcPr>
            <w:tcW w:w="5228" w:type="dxa"/>
            <w:shd w:val="clear" w:color="auto" w:fill="auto"/>
          </w:tcPr>
          <w:p w14:paraId="7836A0FC" w14:textId="77777777" w:rsidR="00F9139F" w:rsidRPr="00884993" w:rsidRDefault="00F9139F" w:rsidP="00717EEC">
            <w:pPr>
              <w:rPr>
                <w:sz w:val="22"/>
                <w:szCs w:val="22"/>
              </w:rPr>
            </w:pPr>
            <w:r w:rsidRPr="00884993">
              <w:rPr>
                <w:sz w:val="22"/>
                <w:szCs w:val="22"/>
              </w:rPr>
              <w:t>Belimumab is a human, IgG1λ monoclonal antibody - blocks action of BLyS (B Lymphoc</w:t>
            </w:r>
            <w:r>
              <w:rPr>
                <w:sz w:val="22"/>
                <w:szCs w:val="22"/>
              </w:rPr>
              <w:t>yte Stimulator Protein)</w:t>
            </w:r>
          </w:p>
        </w:tc>
      </w:tr>
      <w:tr w:rsidR="00F9139F" w:rsidRPr="00884993" w14:paraId="034E8192" w14:textId="77777777" w:rsidTr="00717EEC">
        <w:trPr>
          <w:trHeight w:val="501"/>
        </w:trPr>
        <w:tc>
          <w:tcPr>
            <w:tcW w:w="5198" w:type="dxa"/>
            <w:shd w:val="clear" w:color="auto" w:fill="CCFFFF"/>
          </w:tcPr>
          <w:p w14:paraId="1D14488D" w14:textId="77777777" w:rsidR="00F9139F" w:rsidRPr="00884993" w:rsidRDefault="00F9139F" w:rsidP="00717EEC">
            <w:pPr>
              <w:rPr>
                <w:sz w:val="22"/>
                <w:szCs w:val="22"/>
              </w:rPr>
            </w:pPr>
            <w:r w:rsidRPr="00884993">
              <w:rPr>
                <w:sz w:val="22"/>
                <w:szCs w:val="22"/>
              </w:rPr>
              <w:t>Licensed Indications:</w:t>
            </w:r>
          </w:p>
        </w:tc>
        <w:tc>
          <w:tcPr>
            <w:tcW w:w="5228" w:type="dxa"/>
            <w:shd w:val="clear" w:color="auto" w:fill="auto"/>
          </w:tcPr>
          <w:p w14:paraId="2E300577" w14:textId="77777777" w:rsidR="00F9139F" w:rsidRPr="00884993" w:rsidRDefault="00F9139F" w:rsidP="00717EEC">
            <w:pPr>
              <w:rPr>
                <w:sz w:val="22"/>
                <w:szCs w:val="22"/>
              </w:rPr>
            </w:pPr>
            <w:r w:rsidRPr="00884993">
              <w:rPr>
                <w:sz w:val="22"/>
                <w:szCs w:val="22"/>
              </w:rPr>
              <w:t xml:space="preserve">Add on therapy in adult patients with active, autoantibody positive SLE with a high degree of disease activity despite standard therapy </w:t>
            </w:r>
            <w:r>
              <w:rPr>
                <w:sz w:val="22"/>
                <w:szCs w:val="22"/>
              </w:rPr>
              <w:t>(usually in a tertiary centre setting)</w:t>
            </w:r>
          </w:p>
        </w:tc>
      </w:tr>
      <w:tr w:rsidR="00F9139F" w:rsidRPr="00884993" w14:paraId="63902702" w14:textId="77777777" w:rsidTr="00717EEC">
        <w:trPr>
          <w:trHeight w:val="250"/>
        </w:trPr>
        <w:tc>
          <w:tcPr>
            <w:tcW w:w="5198" w:type="dxa"/>
            <w:shd w:val="clear" w:color="auto" w:fill="CCFFFF"/>
          </w:tcPr>
          <w:p w14:paraId="75CD819F" w14:textId="77777777" w:rsidR="00F9139F" w:rsidRPr="00884993" w:rsidRDefault="00F9139F" w:rsidP="00717EEC">
            <w:pPr>
              <w:rPr>
                <w:sz w:val="22"/>
                <w:szCs w:val="22"/>
              </w:rPr>
            </w:pPr>
            <w:r w:rsidRPr="00884993">
              <w:rPr>
                <w:sz w:val="22"/>
                <w:szCs w:val="22"/>
              </w:rPr>
              <w:t>Licensed Dose:</w:t>
            </w:r>
          </w:p>
        </w:tc>
        <w:tc>
          <w:tcPr>
            <w:tcW w:w="5228" w:type="dxa"/>
            <w:shd w:val="clear" w:color="auto" w:fill="auto"/>
          </w:tcPr>
          <w:p w14:paraId="67F2AAD2" w14:textId="77777777" w:rsidR="00F9139F" w:rsidRPr="00884993" w:rsidRDefault="00F9139F" w:rsidP="00717EEC">
            <w:pPr>
              <w:rPr>
                <w:sz w:val="22"/>
                <w:szCs w:val="22"/>
              </w:rPr>
            </w:pPr>
            <w:r w:rsidRPr="00884993">
              <w:rPr>
                <w:sz w:val="22"/>
                <w:szCs w:val="22"/>
              </w:rPr>
              <w:t xml:space="preserve">10 mg/kg on Days 0, 14 and 28, and at 4-week intervals thereafter. </w:t>
            </w:r>
          </w:p>
        </w:tc>
      </w:tr>
      <w:tr w:rsidR="00F9139F" w:rsidRPr="00884993" w14:paraId="3A095B58" w14:textId="77777777" w:rsidTr="00717EEC">
        <w:trPr>
          <w:trHeight w:val="511"/>
        </w:trPr>
        <w:tc>
          <w:tcPr>
            <w:tcW w:w="5198" w:type="dxa"/>
            <w:shd w:val="clear" w:color="auto" w:fill="CCFFFF"/>
          </w:tcPr>
          <w:p w14:paraId="2C356712" w14:textId="77777777" w:rsidR="00F9139F" w:rsidRPr="00884993" w:rsidRDefault="00F9139F" w:rsidP="00717EEC">
            <w:pPr>
              <w:rPr>
                <w:sz w:val="22"/>
                <w:szCs w:val="22"/>
              </w:rPr>
            </w:pPr>
            <w:r w:rsidRPr="00884993">
              <w:rPr>
                <w:sz w:val="22"/>
                <w:szCs w:val="22"/>
              </w:rPr>
              <w:t>Preparation:</w:t>
            </w:r>
          </w:p>
        </w:tc>
        <w:tc>
          <w:tcPr>
            <w:tcW w:w="5228" w:type="dxa"/>
            <w:shd w:val="clear" w:color="auto" w:fill="auto"/>
          </w:tcPr>
          <w:p w14:paraId="17BFF43C" w14:textId="77777777" w:rsidR="00F9139F" w:rsidRPr="00884993" w:rsidRDefault="00F9139F" w:rsidP="00717EEC">
            <w:pPr>
              <w:rPr>
                <w:sz w:val="22"/>
                <w:szCs w:val="22"/>
                <w:lang w:val="da-DK"/>
              </w:rPr>
            </w:pPr>
            <w:r w:rsidRPr="00884993">
              <w:rPr>
                <w:sz w:val="22"/>
                <w:szCs w:val="22"/>
                <w:lang w:val="da-DK"/>
              </w:rPr>
              <w:t>120mg vial (80mg/ml) &amp; 400mg vial (80mg/ml) - in 250ml 0.9% sodium chloride or 5% glucose over 60 minutes.</w:t>
            </w:r>
          </w:p>
        </w:tc>
      </w:tr>
      <w:tr w:rsidR="00F9139F" w:rsidRPr="00884993" w14:paraId="5ED1F664" w14:textId="77777777" w:rsidTr="00717EEC">
        <w:trPr>
          <w:trHeight w:val="250"/>
        </w:trPr>
        <w:tc>
          <w:tcPr>
            <w:tcW w:w="5198" w:type="dxa"/>
            <w:shd w:val="clear" w:color="auto" w:fill="CCFFFF"/>
          </w:tcPr>
          <w:p w14:paraId="140205A1" w14:textId="77777777" w:rsidR="00F9139F" w:rsidRPr="00884993" w:rsidRDefault="00F9139F" w:rsidP="00717EEC">
            <w:pPr>
              <w:rPr>
                <w:sz w:val="22"/>
                <w:szCs w:val="22"/>
              </w:rPr>
            </w:pPr>
            <w:r w:rsidRPr="00884993">
              <w:rPr>
                <w:sz w:val="22"/>
                <w:szCs w:val="22"/>
              </w:rPr>
              <w:t>NICE Guidance:</w:t>
            </w:r>
          </w:p>
        </w:tc>
        <w:tc>
          <w:tcPr>
            <w:tcW w:w="5228" w:type="dxa"/>
            <w:shd w:val="clear" w:color="auto" w:fill="auto"/>
          </w:tcPr>
          <w:p w14:paraId="2C9EAFFB" w14:textId="77777777" w:rsidR="00F9139F" w:rsidRPr="00884993" w:rsidRDefault="00F9139F" w:rsidP="00717EEC">
            <w:pPr>
              <w:rPr>
                <w:sz w:val="22"/>
                <w:szCs w:val="22"/>
              </w:rPr>
            </w:pPr>
            <w:r>
              <w:rPr>
                <w:color w:val="000000"/>
                <w:kern w:val="24"/>
                <w:sz w:val="22"/>
                <w:szCs w:val="22"/>
                <w:lang w:eastAsia="en-GB"/>
              </w:rPr>
              <w:t xml:space="preserve">SLE: </w:t>
            </w:r>
            <w:hyperlink r:id="rId67" w:history="1">
              <w:r w:rsidRPr="004E1CE6">
                <w:rPr>
                  <w:rStyle w:val="Hyperlink"/>
                  <w:kern w:val="24"/>
                  <w:sz w:val="22"/>
                  <w:szCs w:val="22"/>
                  <w:lang w:eastAsia="en-GB"/>
                </w:rPr>
                <w:t>TA397</w:t>
              </w:r>
            </w:hyperlink>
          </w:p>
        </w:tc>
      </w:tr>
      <w:tr w:rsidR="00F9139F" w:rsidRPr="00884993" w14:paraId="1C5F1A3D" w14:textId="77777777" w:rsidTr="00717EEC">
        <w:trPr>
          <w:trHeight w:val="2036"/>
        </w:trPr>
        <w:tc>
          <w:tcPr>
            <w:tcW w:w="5198" w:type="dxa"/>
            <w:shd w:val="clear" w:color="auto" w:fill="CCFFFF"/>
          </w:tcPr>
          <w:p w14:paraId="37E63BBC" w14:textId="77777777" w:rsidR="00F9139F" w:rsidRPr="00884993" w:rsidRDefault="00F9139F" w:rsidP="00717EEC">
            <w:pPr>
              <w:rPr>
                <w:sz w:val="22"/>
                <w:szCs w:val="22"/>
              </w:rPr>
            </w:pPr>
            <w:r w:rsidRPr="00884993">
              <w:rPr>
                <w:sz w:val="22"/>
                <w:szCs w:val="22"/>
              </w:rPr>
              <w:t>Warnings/Contra-indications/Significant drug interactions:</w:t>
            </w:r>
          </w:p>
          <w:p w14:paraId="168E7A3C" w14:textId="77777777" w:rsidR="00F9139F" w:rsidRPr="00884993" w:rsidRDefault="00F9139F" w:rsidP="00717EEC">
            <w:pPr>
              <w:rPr>
                <w:sz w:val="22"/>
                <w:szCs w:val="22"/>
              </w:rPr>
            </w:pPr>
            <w:r w:rsidRPr="00884993">
              <w:rPr>
                <w:sz w:val="22"/>
                <w:szCs w:val="22"/>
              </w:rPr>
              <w:t>(*Refer to licensed datasheet for special warnings)</w:t>
            </w:r>
          </w:p>
        </w:tc>
        <w:tc>
          <w:tcPr>
            <w:tcW w:w="5228" w:type="dxa"/>
            <w:shd w:val="clear" w:color="auto" w:fill="auto"/>
          </w:tcPr>
          <w:p w14:paraId="72F40897" w14:textId="77777777" w:rsidR="00F9139F" w:rsidRPr="00884993" w:rsidRDefault="00F9139F" w:rsidP="00717EEC">
            <w:pPr>
              <w:rPr>
                <w:sz w:val="22"/>
                <w:szCs w:val="22"/>
              </w:rPr>
            </w:pPr>
            <w:r w:rsidRPr="00884993">
              <w:rPr>
                <w:sz w:val="22"/>
                <w:szCs w:val="22"/>
              </w:rPr>
              <w:t>●Live vaccines must not be given during or 30 days before commencing treatment ● Hypersensitivity to the active substance or to any of the excipients ●Chronic or severe or opportunistic infections (risk in active or latent TB unknown) ● Malignant neoplasm within last 5 years.</w:t>
            </w:r>
          </w:p>
          <w:p w14:paraId="16FA7CEC" w14:textId="77777777" w:rsidR="00F9139F" w:rsidRPr="00884993" w:rsidRDefault="00F9139F" w:rsidP="00717EEC">
            <w:pPr>
              <w:rPr>
                <w:sz w:val="22"/>
                <w:szCs w:val="22"/>
              </w:rPr>
            </w:pPr>
            <w:r w:rsidRPr="00884993">
              <w:rPr>
                <w:sz w:val="22"/>
                <w:szCs w:val="22"/>
              </w:rPr>
              <w:t>●Acute hypersensitivity reactions reported to occur several hours after completion and even the day after infusion.</w:t>
            </w:r>
          </w:p>
          <w:p w14:paraId="22972B26" w14:textId="77777777" w:rsidR="00F9139F" w:rsidRPr="00884993" w:rsidRDefault="00F9139F" w:rsidP="00717EEC">
            <w:pPr>
              <w:rPr>
                <w:sz w:val="22"/>
                <w:szCs w:val="22"/>
              </w:rPr>
            </w:pPr>
            <w:r w:rsidRPr="00884993">
              <w:rPr>
                <w:sz w:val="22"/>
                <w:szCs w:val="22"/>
              </w:rPr>
              <w:t>●Has not been studied in combination with cyclophosphamide or other B cell targeted therapies.</w:t>
            </w:r>
          </w:p>
        </w:tc>
      </w:tr>
      <w:tr w:rsidR="00F9139F" w:rsidRPr="00884993" w14:paraId="1CBCE089" w14:textId="77777777" w:rsidTr="00717EEC">
        <w:trPr>
          <w:trHeight w:val="2056"/>
        </w:trPr>
        <w:tc>
          <w:tcPr>
            <w:tcW w:w="5198" w:type="dxa"/>
            <w:shd w:val="clear" w:color="auto" w:fill="CCFFFF"/>
          </w:tcPr>
          <w:p w14:paraId="077E49F0" w14:textId="77777777" w:rsidR="00F9139F" w:rsidRPr="00884993" w:rsidRDefault="00F9139F" w:rsidP="00717EEC">
            <w:pPr>
              <w:rPr>
                <w:sz w:val="22"/>
                <w:szCs w:val="22"/>
              </w:rPr>
            </w:pPr>
            <w:r w:rsidRPr="00884993">
              <w:rPr>
                <w:sz w:val="22"/>
                <w:szCs w:val="22"/>
              </w:rPr>
              <w:t>Pregnancy &amp; Breastfeeding:</w:t>
            </w:r>
          </w:p>
        </w:tc>
        <w:tc>
          <w:tcPr>
            <w:tcW w:w="5228" w:type="dxa"/>
            <w:shd w:val="clear" w:color="auto" w:fill="auto"/>
          </w:tcPr>
          <w:p w14:paraId="12E7435F" w14:textId="77777777" w:rsidR="00F9139F" w:rsidRPr="00884993" w:rsidRDefault="00F9139F" w:rsidP="00717EEC">
            <w:pPr>
              <w:overflowPunct/>
              <w:autoSpaceDE/>
              <w:autoSpaceDN/>
              <w:adjustRightInd/>
              <w:textAlignment w:val="auto"/>
              <w:rPr>
                <w:sz w:val="22"/>
                <w:szCs w:val="22"/>
              </w:rPr>
            </w:pPr>
            <w:r w:rsidRPr="00884993">
              <w:rPr>
                <w:sz w:val="22"/>
                <w:szCs w:val="22"/>
              </w:rPr>
              <w:t>Please contact the Rheumatologist if patient considering conceiving or in case of pregnancy.</w:t>
            </w:r>
          </w:p>
          <w:p w14:paraId="4D105C6B" w14:textId="77777777" w:rsidR="00F9139F" w:rsidRPr="00884993" w:rsidRDefault="00F9139F" w:rsidP="00717EEC">
            <w:pPr>
              <w:rPr>
                <w:sz w:val="22"/>
                <w:szCs w:val="22"/>
              </w:rPr>
            </w:pPr>
          </w:p>
          <w:p w14:paraId="07B64499" w14:textId="77777777" w:rsidR="00F9139F" w:rsidRPr="00884993" w:rsidRDefault="00F9139F" w:rsidP="00F9139F">
            <w:pPr>
              <w:numPr>
                <w:ilvl w:val="0"/>
                <w:numId w:val="19"/>
              </w:numPr>
              <w:rPr>
                <w:sz w:val="22"/>
                <w:szCs w:val="22"/>
              </w:rPr>
            </w:pPr>
            <w:r w:rsidRPr="00884993">
              <w:rPr>
                <w:sz w:val="22"/>
                <w:szCs w:val="22"/>
              </w:rPr>
              <w:t>Females to use effective contraception during treatment and for 4 months after stopping (*datasheet states do not use during pregnancy unless clearly necessary).</w:t>
            </w:r>
          </w:p>
          <w:p w14:paraId="76725F3F" w14:textId="77777777" w:rsidR="00F9139F" w:rsidRPr="00884993" w:rsidRDefault="00F9139F" w:rsidP="00F9139F">
            <w:pPr>
              <w:numPr>
                <w:ilvl w:val="0"/>
                <w:numId w:val="19"/>
              </w:numPr>
              <w:rPr>
                <w:sz w:val="22"/>
                <w:szCs w:val="22"/>
              </w:rPr>
            </w:pPr>
            <w:r w:rsidRPr="00884993">
              <w:rPr>
                <w:sz w:val="22"/>
                <w:szCs w:val="22"/>
              </w:rPr>
              <w:t>Breastfeeding - risk unknown (Contact the Hospital Pharmacy Medicines Information Department)</w:t>
            </w:r>
          </w:p>
        </w:tc>
      </w:tr>
      <w:tr w:rsidR="00F9139F" w:rsidRPr="00884993" w14:paraId="474406E9" w14:textId="77777777" w:rsidTr="00717EEC">
        <w:trPr>
          <w:trHeight w:val="511"/>
        </w:trPr>
        <w:tc>
          <w:tcPr>
            <w:tcW w:w="5198" w:type="dxa"/>
            <w:shd w:val="clear" w:color="auto" w:fill="CCFFFF"/>
          </w:tcPr>
          <w:p w14:paraId="14FEA9EF" w14:textId="77777777" w:rsidR="00F9139F" w:rsidRPr="00884993" w:rsidRDefault="00F9139F" w:rsidP="00717EEC">
            <w:pPr>
              <w:rPr>
                <w:sz w:val="22"/>
                <w:szCs w:val="22"/>
              </w:rPr>
            </w:pPr>
            <w:r w:rsidRPr="00884993">
              <w:rPr>
                <w:sz w:val="22"/>
                <w:szCs w:val="22"/>
              </w:rPr>
              <w:t>Assessment of Response:</w:t>
            </w:r>
          </w:p>
        </w:tc>
        <w:tc>
          <w:tcPr>
            <w:tcW w:w="5228" w:type="dxa"/>
            <w:shd w:val="clear" w:color="auto" w:fill="auto"/>
          </w:tcPr>
          <w:p w14:paraId="08C9F837" w14:textId="77777777" w:rsidR="00F9139F" w:rsidRPr="00884993" w:rsidRDefault="00F9139F" w:rsidP="00717EEC">
            <w:pPr>
              <w:rPr>
                <w:sz w:val="22"/>
                <w:szCs w:val="22"/>
              </w:rPr>
            </w:pPr>
            <w:r w:rsidRPr="00884993">
              <w:rPr>
                <w:sz w:val="22"/>
                <w:szCs w:val="22"/>
              </w:rPr>
              <w:t>Discontinuation of treatment should be considered if there is no improvement in disease control after 6 months of treatment.</w:t>
            </w:r>
          </w:p>
        </w:tc>
      </w:tr>
      <w:tr w:rsidR="00F9139F" w:rsidRPr="00884993" w14:paraId="74594379" w14:textId="77777777" w:rsidTr="00717EEC">
        <w:trPr>
          <w:trHeight w:val="2156"/>
        </w:trPr>
        <w:tc>
          <w:tcPr>
            <w:tcW w:w="5198" w:type="dxa"/>
            <w:tcBorders>
              <w:bottom w:val="single" w:sz="4" w:space="0" w:color="auto"/>
            </w:tcBorders>
            <w:shd w:val="clear" w:color="auto" w:fill="CCFFFF"/>
          </w:tcPr>
          <w:p w14:paraId="17C9E393" w14:textId="77777777" w:rsidR="00F9139F" w:rsidRPr="00884993" w:rsidRDefault="00F9139F" w:rsidP="00717EEC">
            <w:pPr>
              <w:rPr>
                <w:sz w:val="22"/>
                <w:szCs w:val="22"/>
              </w:rPr>
            </w:pPr>
            <w:r w:rsidRPr="00884993">
              <w:rPr>
                <w:sz w:val="22"/>
                <w:szCs w:val="22"/>
              </w:rPr>
              <w:t>Baseline Tests:</w:t>
            </w:r>
          </w:p>
        </w:tc>
        <w:tc>
          <w:tcPr>
            <w:tcW w:w="5228" w:type="dxa"/>
            <w:shd w:val="clear" w:color="auto" w:fill="auto"/>
          </w:tcPr>
          <w:p w14:paraId="372C4A75"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Full clinical/infection screen</w:t>
            </w:r>
          </w:p>
          <w:p w14:paraId="39312BFE"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Urinalysis &amp; BP</w:t>
            </w:r>
          </w:p>
          <w:p w14:paraId="2E717FAC" w14:textId="77777777" w:rsidR="00F9139F" w:rsidRPr="00884993" w:rsidRDefault="00F9139F" w:rsidP="00F9139F">
            <w:pPr>
              <w:numPr>
                <w:ilvl w:val="0"/>
                <w:numId w:val="16"/>
              </w:numPr>
              <w:overflowPunct/>
              <w:autoSpaceDE/>
              <w:autoSpaceDN/>
              <w:adjustRightInd/>
              <w:textAlignment w:val="auto"/>
              <w:rPr>
                <w:sz w:val="22"/>
                <w:szCs w:val="22"/>
                <w:lang w:val="sv-SE"/>
              </w:rPr>
            </w:pPr>
            <w:r w:rsidRPr="00884993">
              <w:rPr>
                <w:sz w:val="22"/>
                <w:szCs w:val="22"/>
                <w:lang w:val="sv-SE"/>
              </w:rPr>
              <w:t>FBC/U&amp;E/LFT/ANA/DNA</w:t>
            </w:r>
          </w:p>
          <w:p w14:paraId="533BBF80"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B Cell analysis</w:t>
            </w:r>
          </w:p>
          <w:p w14:paraId="362E7F6C"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Immunoglobulins</w:t>
            </w:r>
          </w:p>
          <w:p w14:paraId="30DB179F"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 xml:space="preserve">CXR </w:t>
            </w:r>
          </w:p>
          <w:p w14:paraId="6025E9E1" w14:textId="77777777" w:rsidR="00F9139F" w:rsidRPr="00884993" w:rsidRDefault="00F9139F" w:rsidP="00F9139F">
            <w:pPr>
              <w:numPr>
                <w:ilvl w:val="0"/>
                <w:numId w:val="16"/>
              </w:numPr>
              <w:overflowPunct/>
              <w:autoSpaceDE/>
              <w:autoSpaceDN/>
              <w:adjustRightInd/>
              <w:textAlignment w:val="auto"/>
              <w:rPr>
                <w:sz w:val="22"/>
                <w:szCs w:val="22"/>
              </w:rPr>
            </w:pPr>
            <w:r>
              <w:rPr>
                <w:sz w:val="22"/>
                <w:szCs w:val="22"/>
              </w:rPr>
              <w:t xml:space="preserve">Consider </w:t>
            </w:r>
            <w:r w:rsidRPr="00884993">
              <w:rPr>
                <w:sz w:val="22"/>
                <w:szCs w:val="22"/>
              </w:rPr>
              <w:t>Hepatitis B&amp;C</w:t>
            </w:r>
            <w:r>
              <w:rPr>
                <w:sz w:val="22"/>
                <w:szCs w:val="22"/>
              </w:rPr>
              <w:t>, HIV</w:t>
            </w:r>
          </w:p>
          <w:p w14:paraId="298A42A4" w14:textId="77777777" w:rsidR="00F9139F" w:rsidRPr="00884993" w:rsidRDefault="00F9139F" w:rsidP="00F9139F">
            <w:pPr>
              <w:numPr>
                <w:ilvl w:val="0"/>
                <w:numId w:val="16"/>
              </w:numPr>
              <w:rPr>
                <w:sz w:val="22"/>
                <w:szCs w:val="22"/>
              </w:rPr>
            </w:pPr>
            <w:r w:rsidRPr="00884993">
              <w:rPr>
                <w:sz w:val="22"/>
                <w:szCs w:val="22"/>
              </w:rPr>
              <w:t>Pregnancy test if indicated</w:t>
            </w:r>
          </w:p>
          <w:p w14:paraId="382B689E" w14:textId="77777777" w:rsidR="00F9139F" w:rsidRPr="00884993" w:rsidRDefault="00F9139F" w:rsidP="00F9139F">
            <w:pPr>
              <w:numPr>
                <w:ilvl w:val="0"/>
                <w:numId w:val="16"/>
              </w:numPr>
              <w:rPr>
                <w:sz w:val="22"/>
                <w:szCs w:val="22"/>
              </w:rPr>
            </w:pPr>
            <w:r w:rsidRPr="00884993">
              <w:rPr>
                <w:sz w:val="22"/>
                <w:szCs w:val="22"/>
              </w:rPr>
              <w:t>Consider TB screening (not done routinely)</w:t>
            </w:r>
          </w:p>
        </w:tc>
      </w:tr>
      <w:tr w:rsidR="00F9139F" w:rsidRPr="00884993" w14:paraId="07501FD5" w14:textId="77777777" w:rsidTr="00717EEC">
        <w:trPr>
          <w:trHeight w:val="1013"/>
        </w:trPr>
        <w:tc>
          <w:tcPr>
            <w:tcW w:w="5198" w:type="dxa"/>
            <w:tcBorders>
              <w:bottom w:val="single" w:sz="4" w:space="0" w:color="auto"/>
            </w:tcBorders>
            <w:shd w:val="clear" w:color="auto" w:fill="CCFFFF"/>
          </w:tcPr>
          <w:p w14:paraId="1F7E5D23" w14:textId="77777777" w:rsidR="00F9139F" w:rsidRPr="00884993" w:rsidRDefault="00F9139F" w:rsidP="00717EEC">
            <w:pPr>
              <w:rPr>
                <w:sz w:val="22"/>
                <w:szCs w:val="22"/>
              </w:rPr>
            </w:pPr>
            <w:r w:rsidRPr="00884993">
              <w:rPr>
                <w:sz w:val="22"/>
                <w:szCs w:val="22"/>
              </w:rPr>
              <w:t>Routine Monitoring:</w:t>
            </w:r>
          </w:p>
        </w:tc>
        <w:tc>
          <w:tcPr>
            <w:tcW w:w="5228" w:type="dxa"/>
            <w:shd w:val="clear" w:color="auto" w:fill="auto"/>
          </w:tcPr>
          <w:p w14:paraId="4DC7DC02" w14:textId="77777777" w:rsidR="00F9139F" w:rsidRPr="00884993" w:rsidRDefault="00F9139F" w:rsidP="00717EEC">
            <w:pPr>
              <w:rPr>
                <w:sz w:val="22"/>
                <w:szCs w:val="22"/>
              </w:rPr>
            </w:pPr>
            <w:r w:rsidRPr="00884993">
              <w:rPr>
                <w:sz w:val="22"/>
                <w:szCs w:val="22"/>
              </w:rPr>
              <w:t>●Continue routine DMARD monitoring for concomitant therapies. ●exclude presence of infection prior to each infusion ●Urinalysis before each infusion ●FBC/U&amp;E’s before each infusion ●BP prior to infusion, 30 minutes after the start, at the end of the infusion and 30 minutes post</w:t>
            </w:r>
          </w:p>
        </w:tc>
      </w:tr>
      <w:tr w:rsidR="00F9139F" w:rsidRPr="00884993" w14:paraId="72BA6B92" w14:textId="77777777" w:rsidTr="00717EEC">
        <w:trPr>
          <w:trHeight w:val="1524"/>
        </w:trPr>
        <w:tc>
          <w:tcPr>
            <w:tcW w:w="5198" w:type="dxa"/>
            <w:shd w:val="clear" w:color="auto" w:fill="CCFFFF"/>
          </w:tcPr>
          <w:p w14:paraId="27E1DF75" w14:textId="77777777" w:rsidR="00F9139F" w:rsidRPr="00884993" w:rsidRDefault="00F9139F" w:rsidP="00717EEC">
            <w:pPr>
              <w:rPr>
                <w:sz w:val="22"/>
                <w:szCs w:val="22"/>
              </w:rPr>
            </w:pPr>
            <w:r w:rsidRPr="00884993">
              <w:rPr>
                <w:sz w:val="22"/>
                <w:szCs w:val="22"/>
              </w:rPr>
              <w:lastRenderedPageBreak/>
              <w:t>Indications for Stopping Therapy:</w:t>
            </w:r>
          </w:p>
        </w:tc>
        <w:tc>
          <w:tcPr>
            <w:tcW w:w="5228" w:type="dxa"/>
            <w:shd w:val="clear" w:color="auto" w:fill="auto"/>
          </w:tcPr>
          <w:p w14:paraId="1F46645F" w14:textId="77777777" w:rsidR="00F9139F" w:rsidRPr="00884993" w:rsidRDefault="00F9139F" w:rsidP="00717EEC">
            <w:pPr>
              <w:rPr>
                <w:b/>
                <w:sz w:val="22"/>
                <w:szCs w:val="22"/>
              </w:rPr>
            </w:pPr>
            <w:r w:rsidRPr="00884993">
              <w:rPr>
                <w:b/>
                <w:sz w:val="22"/>
                <w:szCs w:val="22"/>
              </w:rPr>
              <w:t>Stop treatment if:</w:t>
            </w:r>
          </w:p>
          <w:p w14:paraId="6A855452" w14:textId="77777777" w:rsidR="00F9139F" w:rsidRPr="00884993" w:rsidRDefault="00F9139F" w:rsidP="00717EEC">
            <w:pPr>
              <w:rPr>
                <w:sz w:val="22"/>
                <w:szCs w:val="22"/>
              </w:rPr>
            </w:pPr>
            <w:r w:rsidRPr="00884993">
              <w:rPr>
                <w:sz w:val="22"/>
                <w:szCs w:val="22"/>
              </w:rPr>
              <w:t xml:space="preserve">●Evidence of active infection  </w:t>
            </w:r>
          </w:p>
          <w:p w14:paraId="1800B664" w14:textId="77777777" w:rsidR="00F9139F" w:rsidRPr="00884993" w:rsidRDefault="00F9139F" w:rsidP="00717EEC">
            <w:pPr>
              <w:rPr>
                <w:sz w:val="22"/>
                <w:szCs w:val="22"/>
              </w:rPr>
            </w:pPr>
            <w:r w:rsidRPr="00884993">
              <w:rPr>
                <w:sz w:val="22"/>
                <w:szCs w:val="22"/>
              </w:rPr>
              <w:t xml:space="preserve">●Hypersensitivity reaction </w:t>
            </w:r>
          </w:p>
          <w:p w14:paraId="6E61E3AE" w14:textId="77777777" w:rsidR="00F9139F" w:rsidRPr="00884993" w:rsidRDefault="00F9139F" w:rsidP="00717EEC">
            <w:pPr>
              <w:rPr>
                <w:sz w:val="22"/>
                <w:szCs w:val="22"/>
              </w:rPr>
            </w:pPr>
            <w:r w:rsidRPr="00884993">
              <w:rPr>
                <w:sz w:val="22"/>
                <w:szCs w:val="22"/>
              </w:rPr>
              <w:t>●Leucopenia (WCC &lt;3.5 10</w:t>
            </w:r>
            <w:r w:rsidRPr="00884993">
              <w:rPr>
                <w:sz w:val="22"/>
                <w:szCs w:val="22"/>
                <w:vertAlign w:val="superscript"/>
              </w:rPr>
              <w:t>9/</w:t>
            </w:r>
            <w:r w:rsidRPr="00884993">
              <w:rPr>
                <w:sz w:val="22"/>
                <w:szCs w:val="22"/>
              </w:rPr>
              <w:t>L, Neut &lt; 2.0 10</w:t>
            </w:r>
            <w:r w:rsidRPr="00884993">
              <w:rPr>
                <w:sz w:val="22"/>
                <w:szCs w:val="22"/>
                <w:vertAlign w:val="superscript"/>
              </w:rPr>
              <w:t>9/</w:t>
            </w:r>
            <w:r w:rsidRPr="00884993">
              <w:rPr>
                <w:sz w:val="22"/>
                <w:szCs w:val="22"/>
              </w:rPr>
              <w:t>L or local ranges)</w:t>
            </w:r>
          </w:p>
          <w:p w14:paraId="3C6883BF" w14:textId="77777777" w:rsidR="00F9139F" w:rsidRPr="00884993" w:rsidRDefault="00F9139F" w:rsidP="00717EEC">
            <w:pPr>
              <w:rPr>
                <w:sz w:val="22"/>
                <w:szCs w:val="22"/>
              </w:rPr>
            </w:pPr>
            <w:r w:rsidRPr="00884993">
              <w:rPr>
                <w:sz w:val="22"/>
                <w:szCs w:val="22"/>
              </w:rPr>
              <w:t>●Increased insomnia/change in mood</w:t>
            </w:r>
          </w:p>
          <w:p w14:paraId="109301D8" w14:textId="77777777" w:rsidR="00F9139F" w:rsidRPr="00884993" w:rsidRDefault="00F9139F" w:rsidP="00717EEC">
            <w:pPr>
              <w:rPr>
                <w:sz w:val="22"/>
                <w:szCs w:val="22"/>
              </w:rPr>
            </w:pPr>
            <w:r w:rsidRPr="00884993">
              <w:rPr>
                <w:b/>
                <w:sz w:val="22"/>
                <w:szCs w:val="22"/>
              </w:rPr>
              <w:t>CONTACT THE RHEUMATOLOGY SERVICE</w:t>
            </w:r>
          </w:p>
        </w:tc>
      </w:tr>
      <w:tr w:rsidR="00F9139F" w:rsidRPr="00884993" w14:paraId="3D2DDE80" w14:textId="77777777" w:rsidTr="00717EEC">
        <w:trPr>
          <w:trHeight w:val="1263"/>
        </w:trPr>
        <w:tc>
          <w:tcPr>
            <w:tcW w:w="10426" w:type="dxa"/>
            <w:gridSpan w:val="2"/>
            <w:shd w:val="clear" w:color="auto" w:fill="auto"/>
          </w:tcPr>
          <w:p w14:paraId="74BDB167" w14:textId="77777777" w:rsidR="00F9139F" w:rsidRPr="00884993" w:rsidRDefault="00F9139F" w:rsidP="00717EEC">
            <w:pPr>
              <w:rPr>
                <w:sz w:val="22"/>
                <w:szCs w:val="22"/>
              </w:rPr>
            </w:pPr>
            <w:r w:rsidRPr="00884993">
              <w:rPr>
                <w:sz w:val="22"/>
                <w:szCs w:val="22"/>
              </w:rPr>
              <w:t>Please refer to licensed datasheet for more comprehensive prescribing information:</w:t>
            </w:r>
          </w:p>
          <w:p w14:paraId="2C4BB5E1" w14:textId="77777777" w:rsidR="00F9139F" w:rsidRPr="00884993" w:rsidRDefault="00323D19" w:rsidP="00717EEC">
            <w:pPr>
              <w:rPr>
                <w:sz w:val="22"/>
                <w:szCs w:val="22"/>
              </w:rPr>
            </w:pPr>
            <w:hyperlink r:id="rId68" w:history="1">
              <w:r w:rsidR="00F9139F" w:rsidRPr="00884993">
                <w:rPr>
                  <w:rStyle w:val="Hyperlink"/>
                  <w:sz w:val="22"/>
                  <w:szCs w:val="22"/>
                </w:rPr>
                <w:t>http://www.medicines.org.uk/EMC/medicine/24769/SPC/Benlysta+120+mg+and+400+mg+powder+for+concentrate+for+solution+for+infusion/</w:t>
              </w:r>
            </w:hyperlink>
          </w:p>
          <w:p w14:paraId="6F8D3D25" w14:textId="77777777" w:rsidR="00F9139F" w:rsidRPr="00884993" w:rsidRDefault="00F9139F" w:rsidP="00717EEC">
            <w:pPr>
              <w:rPr>
                <w:sz w:val="22"/>
                <w:szCs w:val="22"/>
              </w:rPr>
            </w:pPr>
          </w:p>
          <w:p w14:paraId="186FAE6D" w14:textId="77777777" w:rsidR="00F9139F" w:rsidRPr="00884993" w:rsidRDefault="00F9139F" w:rsidP="00717EEC">
            <w:pPr>
              <w:rPr>
                <w:sz w:val="22"/>
                <w:szCs w:val="22"/>
              </w:rPr>
            </w:pPr>
          </w:p>
          <w:p w14:paraId="0F835A5A" w14:textId="77777777" w:rsidR="00F9139F" w:rsidRPr="00884993" w:rsidRDefault="00F9139F" w:rsidP="00717EEC">
            <w:pPr>
              <w:rPr>
                <w:sz w:val="22"/>
                <w:szCs w:val="22"/>
              </w:rPr>
            </w:pPr>
          </w:p>
        </w:tc>
      </w:tr>
    </w:tbl>
    <w:p w14:paraId="3A005379" w14:textId="591C4152" w:rsidR="00F9139F" w:rsidRDefault="00F9139F" w:rsidP="0084011C">
      <w:pPr>
        <w:rPr>
          <w:lang w:val="it-IT"/>
        </w:rPr>
      </w:pPr>
    </w:p>
    <w:p w14:paraId="2C02BE9B" w14:textId="77777777" w:rsidR="00F9139F" w:rsidRDefault="00F9139F" w:rsidP="0084011C">
      <w:pPr>
        <w:rPr>
          <w:lang w:val="it-IT"/>
        </w:rPr>
      </w:pPr>
    </w:p>
    <w:p w14:paraId="4AB5FF2D" w14:textId="77777777" w:rsidR="0084011C" w:rsidRDefault="0084011C" w:rsidP="0084011C">
      <w:pPr>
        <w:rPr>
          <w:lang w:val="it-IT"/>
        </w:rPr>
      </w:pPr>
    </w:p>
    <w:p w14:paraId="5EC2DB04" w14:textId="77777777" w:rsidR="00F9139F" w:rsidRDefault="00F9139F">
      <w:pPr>
        <w:overflowPunct/>
        <w:autoSpaceDE/>
        <w:autoSpaceDN/>
        <w:adjustRightInd/>
        <w:spacing w:after="160" w:line="259" w:lineRule="auto"/>
        <w:textAlignment w:val="auto"/>
        <w:rPr>
          <w:rFonts w:eastAsiaTheme="majorEastAsia" w:cstheme="majorBidi"/>
          <w:b/>
          <w:sz w:val="26"/>
          <w:szCs w:val="26"/>
          <w:lang w:val="it-IT"/>
        </w:rPr>
      </w:pPr>
      <w:r>
        <w:rPr>
          <w:lang w:val="it-IT"/>
        </w:rPr>
        <w:br w:type="page"/>
      </w:r>
    </w:p>
    <w:p w14:paraId="687FBD99" w14:textId="670C526C" w:rsidR="00B139C2" w:rsidRDefault="00CF234C" w:rsidP="0084011C">
      <w:pPr>
        <w:pStyle w:val="Heading2"/>
        <w:rPr>
          <w:rFonts w:eastAsia="Arial Unicode MS"/>
        </w:rPr>
      </w:pPr>
      <w:bookmarkStart w:id="25" w:name="_Toc531873937"/>
      <w:r w:rsidRPr="006140D1">
        <w:rPr>
          <w:lang w:val="it-IT"/>
        </w:rPr>
        <w:lastRenderedPageBreak/>
        <w:t>Certolizumab Pegol (Cimzia</w:t>
      </w:r>
      <w:r w:rsidRPr="006140D1">
        <w:rPr>
          <w:rFonts w:cs="Arial"/>
          <w:lang w:val="it-IT"/>
        </w:rPr>
        <w:t>®</w:t>
      </w:r>
      <w:r w:rsidRPr="006140D1">
        <w:rPr>
          <w:lang w:val="it-IT"/>
        </w:rPr>
        <w:t>)</w:t>
      </w:r>
      <w:bookmarkEnd w:id="25"/>
      <w:r w:rsidRPr="006140D1">
        <w:rPr>
          <w:lang w:val="it-IT"/>
        </w:rPr>
        <w:t xml:space="preserve"> </w:t>
      </w:r>
    </w:p>
    <w:tbl>
      <w:tblPr>
        <w:tblW w:w="1071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7392"/>
      </w:tblGrid>
      <w:tr w:rsidR="00B139C2" w:rsidRPr="00884993" w14:paraId="6B507D3E" w14:textId="77777777" w:rsidTr="00B36B4C">
        <w:tc>
          <w:tcPr>
            <w:tcW w:w="3326" w:type="dxa"/>
            <w:shd w:val="clear" w:color="auto" w:fill="CCFFFF"/>
          </w:tcPr>
          <w:p w14:paraId="016E8812" w14:textId="77777777" w:rsidR="00B139C2" w:rsidRPr="00884993" w:rsidRDefault="00B139C2" w:rsidP="00094335">
            <w:pPr>
              <w:rPr>
                <w:sz w:val="22"/>
                <w:szCs w:val="22"/>
              </w:rPr>
            </w:pPr>
            <w:r w:rsidRPr="00884993">
              <w:rPr>
                <w:sz w:val="22"/>
                <w:szCs w:val="22"/>
              </w:rPr>
              <w:t>Therapeutic Class:</w:t>
            </w:r>
          </w:p>
        </w:tc>
        <w:tc>
          <w:tcPr>
            <w:tcW w:w="7392" w:type="dxa"/>
            <w:shd w:val="clear" w:color="auto" w:fill="auto"/>
          </w:tcPr>
          <w:p w14:paraId="0866D044" w14:textId="368914F9" w:rsidR="00B139C2" w:rsidRPr="00884993" w:rsidRDefault="00B139C2" w:rsidP="00094335">
            <w:pPr>
              <w:rPr>
                <w:sz w:val="22"/>
                <w:szCs w:val="22"/>
              </w:rPr>
            </w:pPr>
            <w:r w:rsidRPr="00884993">
              <w:rPr>
                <w:sz w:val="22"/>
                <w:szCs w:val="22"/>
              </w:rPr>
              <w:t xml:space="preserve">Biologic - TNF </w:t>
            </w:r>
            <w:r w:rsidR="00884993">
              <w:rPr>
                <w:sz w:val="22"/>
                <w:szCs w:val="22"/>
              </w:rPr>
              <w:t xml:space="preserve">α </w:t>
            </w:r>
            <w:r w:rsidRPr="00884993">
              <w:rPr>
                <w:sz w:val="22"/>
                <w:szCs w:val="22"/>
              </w:rPr>
              <w:t xml:space="preserve">Inhibitor </w:t>
            </w:r>
          </w:p>
        </w:tc>
      </w:tr>
      <w:tr w:rsidR="00B139C2" w:rsidRPr="00884993" w14:paraId="61BC270E" w14:textId="77777777" w:rsidTr="00B36B4C">
        <w:tc>
          <w:tcPr>
            <w:tcW w:w="3326" w:type="dxa"/>
            <w:shd w:val="clear" w:color="auto" w:fill="CCFFFF"/>
          </w:tcPr>
          <w:p w14:paraId="09E1B63D" w14:textId="77777777" w:rsidR="00B139C2" w:rsidRPr="00884993" w:rsidRDefault="00B139C2" w:rsidP="00094335">
            <w:pPr>
              <w:rPr>
                <w:sz w:val="22"/>
                <w:szCs w:val="22"/>
              </w:rPr>
            </w:pPr>
            <w:r w:rsidRPr="00884993">
              <w:rPr>
                <w:sz w:val="22"/>
                <w:szCs w:val="22"/>
              </w:rPr>
              <w:t>Licensed Indications:</w:t>
            </w:r>
          </w:p>
        </w:tc>
        <w:tc>
          <w:tcPr>
            <w:tcW w:w="7392" w:type="dxa"/>
            <w:shd w:val="clear" w:color="auto" w:fill="auto"/>
          </w:tcPr>
          <w:p w14:paraId="33190406" w14:textId="77777777" w:rsidR="00B139C2" w:rsidRPr="00884993" w:rsidRDefault="00B139C2" w:rsidP="00094335">
            <w:pPr>
              <w:rPr>
                <w:sz w:val="22"/>
                <w:szCs w:val="22"/>
              </w:rPr>
            </w:pPr>
            <w:r w:rsidRPr="00884993">
              <w:rPr>
                <w:sz w:val="22"/>
                <w:szCs w:val="22"/>
              </w:rPr>
              <w:t>RA in combination with methotrexate (datasheet permits use without methotrexate where there is intolerance)</w:t>
            </w:r>
          </w:p>
        </w:tc>
      </w:tr>
      <w:tr w:rsidR="00B139C2" w:rsidRPr="00884993" w14:paraId="24573EF2" w14:textId="77777777" w:rsidTr="00B36B4C">
        <w:tc>
          <w:tcPr>
            <w:tcW w:w="3326" w:type="dxa"/>
            <w:shd w:val="clear" w:color="auto" w:fill="CCFFFF"/>
          </w:tcPr>
          <w:p w14:paraId="0A332BDD" w14:textId="77777777" w:rsidR="00B139C2" w:rsidRPr="00884993" w:rsidRDefault="00B139C2" w:rsidP="00094335">
            <w:pPr>
              <w:rPr>
                <w:sz w:val="22"/>
                <w:szCs w:val="22"/>
              </w:rPr>
            </w:pPr>
            <w:r w:rsidRPr="00884993">
              <w:rPr>
                <w:sz w:val="22"/>
                <w:szCs w:val="22"/>
              </w:rPr>
              <w:t>Licensed Dose:</w:t>
            </w:r>
          </w:p>
        </w:tc>
        <w:tc>
          <w:tcPr>
            <w:tcW w:w="7392" w:type="dxa"/>
            <w:shd w:val="clear" w:color="auto" w:fill="auto"/>
          </w:tcPr>
          <w:p w14:paraId="682686B6" w14:textId="77777777" w:rsidR="00B139C2" w:rsidRPr="00884993" w:rsidRDefault="00B139C2" w:rsidP="00094335">
            <w:pPr>
              <w:rPr>
                <w:sz w:val="22"/>
                <w:szCs w:val="22"/>
              </w:rPr>
            </w:pPr>
            <w:r w:rsidRPr="00884993">
              <w:rPr>
                <w:sz w:val="22"/>
                <w:szCs w:val="22"/>
              </w:rPr>
              <w:t>400 mg (as two s/c injections of 200 mg each on one day) at weeks 0, 2 and 4, followed by a maintenance dose of 200 mg every 2 weeks</w:t>
            </w:r>
          </w:p>
          <w:p w14:paraId="290AF49F" w14:textId="77777777" w:rsidR="00B139C2" w:rsidRPr="00884993" w:rsidRDefault="00B139C2" w:rsidP="00094335">
            <w:pPr>
              <w:rPr>
                <w:sz w:val="22"/>
                <w:szCs w:val="22"/>
              </w:rPr>
            </w:pPr>
            <w:r w:rsidRPr="00884993">
              <w:rPr>
                <w:sz w:val="22"/>
                <w:szCs w:val="22"/>
                <w:u w:val="single"/>
              </w:rPr>
              <w:t>Missed dose</w:t>
            </w:r>
            <w:r w:rsidRPr="00884993">
              <w:rPr>
                <w:sz w:val="22"/>
                <w:szCs w:val="22"/>
              </w:rPr>
              <w:t>: Patients who miss a dose should be advised to inject the next dose as soon as they remember and then continue injecting subsequent doses every 2 weeks as originally instructed</w:t>
            </w:r>
          </w:p>
        </w:tc>
      </w:tr>
      <w:tr w:rsidR="00B139C2" w:rsidRPr="00884993" w14:paraId="0856211F" w14:textId="77777777" w:rsidTr="00B36B4C">
        <w:tc>
          <w:tcPr>
            <w:tcW w:w="3326" w:type="dxa"/>
            <w:shd w:val="clear" w:color="auto" w:fill="CCFFFF"/>
          </w:tcPr>
          <w:p w14:paraId="421692D2" w14:textId="77777777" w:rsidR="00B139C2" w:rsidRPr="00884993" w:rsidRDefault="00B139C2" w:rsidP="00094335">
            <w:pPr>
              <w:rPr>
                <w:sz w:val="22"/>
                <w:szCs w:val="22"/>
              </w:rPr>
            </w:pPr>
            <w:r w:rsidRPr="00884993">
              <w:rPr>
                <w:sz w:val="22"/>
                <w:szCs w:val="22"/>
              </w:rPr>
              <w:t>Preparations:</w:t>
            </w:r>
          </w:p>
        </w:tc>
        <w:tc>
          <w:tcPr>
            <w:tcW w:w="7392" w:type="dxa"/>
            <w:shd w:val="clear" w:color="auto" w:fill="auto"/>
          </w:tcPr>
          <w:p w14:paraId="770B5202" w14:textId="77777777" w:rsidR="00B139C2" w:rsidRPr="00884993" w:rsidRDefault="00B139C2" w:rsidP="00094335">
            <w:pPr>
              <w:rPr>
                <w:sz w:val="22"/>
                <w:szCs w:val="22"/>
              </w:rPr>
            </w:pPr>
            <w:r w:rsidRPr="00884993">
              <w:rPr>
                <w:sz w:val="22"/>
                <w:szCs w:val="22"/>
              </w:rPr>
              <w:t>200mg prefilled syringe</w:t>
            </w:r>
          </w:p>
        </w:tc>
      </w:tr>
      <w:tr w:rsidR="00B139C2" w:rsidRPr="00884993" w14:paraId="3F5B4321" w14:textId="77777777" w:rsidTr="00B36B4C">
        <w:tc>
          <w:tcPr>
            <w:tcW w:w="3326" w:type="dxa"/>
            <w:shd w:val="clear" w:color="auto" w:fill="CCFFFF"/>
          </w:tcPr>
          <w:p w14:paraId="6B41689E" w14:textId="77777777" w:rsidR="00B139C2" w:rsidRPr="00884993" w:rsidRDefault="00B139C2" w:rsidP="00094335">
            <w:pPr>
              <w:rPr>
                <w:sz w:val="22"/>
                <w:szCs w:val="22"/>
              </w:rPr>
            </w:pPr>
            <w:r w:rsidRPr="00884993">
              <w:rPr>
                <w:sz w:val="22"/>
                <w:szCs w:val="22"/>
              </w:rPr>
              <w:t>NICE Guidance:</w:t>
            </w:r>
          </w:p>
        </w:tc>
        <w:tc>
          <w:tcPr>
            <w:tcW w:w="7392" w:type="dxa"/>
            <w:shd w:val="clear" w:color="auto" w:fill="auto"/>
          </w:tcPr>
          <w:p w14:paraId="27A775E3" w14:textId="77777777" w:rsidR="00B139C2" w:rsidRDefault="00453E87" w:rsidP="00586C73">
            <w:pPr>
              <w:rPr>
                <w:rStyle w:val="Hyperlink"/>
                <w:color w:val="auto"/>
                <w:kern w:val="24"/>
                <w:sz w:val="22"/>
                <w:szCs w:val="22"/>
                <w:lang w:eastAsia="en-GB"/>
              </w:rPr>
            </w:pPr>
            <w:r>
              <w:rPr>
                <w:color w:val="000000"/>
                <w:kern w:val="24"/>
                <w:sz w:val="22"/>
                <w:szCs w:val="22"/>
                <w:lang w:eastAsia="en-GB"/>
              </w:rPr>
              <w:t xml:space="preserve">RA: </w:t>
            </w:r>
            <w:hyperlink r:id="rId69" w:history="1">
              <w:r w:rsidRPr="004132B1">
                <w:rPr>
                  <w:rStyle w:val="Hyperlink"/>
                  <w:kern w:val="24"/>
                  <w:sz w:val="22"/>
                  <w:szCs w:val="22"/>
                  <w:lang w:eastAsia="en-GB"/>
                </w:rPr>
                <w:t>TA375</w:t>
              </w:r>
            </w:hyperlink>
            <w:r w:rsidR="00586C73">
              <w:rPr>
                <w:rStyle w:val="Hyperlink"/>
                <w:kern w:val="24"/>
                <w:sz w:val="22"/>
                <w:szCs w:val="22"/>
                <w:lang w:eastAsia="en-GB"/>
              </w:rPr>
              <w:t xml:space="preserve"> </w:t>
            </w:r>
            <w:r w:rsidR="00586C73" w:rsidRPr="00586C73">
              <w:rPr>
                <w:rStyle w:val="Hyperlink"/>
                <w:color w:val="auto"/>
                <w:kern w:val="24"/>
                <w:sz w:val="22"/>
                <w:szCs w:val="22"/>
                <w:lang w:eastAsia="en-GB"/>
              </w:rPr>
              <w:t xml:space="preserve">and </w:t>
            </w:r>
            <w:hyperlink r:id="rId70" w:history="1">
              <w:r w:rsidR="00586C73" w:rsidRPr="001C116E">
                <w:rPr>
                  <w:rStyle w:val="Hyperlink"/>
                  <w:kern w:val="24"/>
                  <w:sz w:val="22"/>
                  <w:szCs w:val="22"/>
                  <w:lang w:eastAsia="en-GB"/>
                </w:rPr>
                <w:t>TA415</w:t>
              </w:r>
            </w:hyperlink>
            <w:r w:rsidR="00586C73">
              <w:rPr>
                <w:rStyle w:val="Hyperlink"/>
                <w:kern w:val="24"/>
                <w:sz w:val="22"/>
                <w:szCs w:val="22"/>
                <w:lang w:eastAsia="en-GB"/>
              </w:rPr>
              <w:t xml:space="preserve"> </w:t>
            </w:r>
            <w:r w:rsidR="00586C73">
              <w:rPr>
                <w:rStyle w:val="Hyperlink"/>
                <w:color w:val="auto"/>
                <w:kern w:val="24"/>
                <w:sz w:val="22"/>
                <w:szCs w:val="22"/>
                <w:lang w:eastAsia="en-GB"/>
              </w:rPr>
              <w:t>(after TNF failure if rituximab CI/failed)</w:t>
            </w:r>
          </w:p>
          <w:p w14:paraId="6005ED16" w14:textId="77777777" w:rsidR="00DC3508" w:rsidRDefault="00DC3508" w:rsidP="00DC3508">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PsA: </w:t>
            </w:r>
            <w:hyperlink r:id="rId71" w:history="1">
              <w:r w:rsidRPr="00604B75">
                <w:rPr>
                  <w:rStyle w:val="Hyperlink"/>
                  <w:kern w:val="24"/>
                  <w:sz w:val="22"/>
                  <w:szCs w:val="22"/>
                  <w:lang w:eastAsia="en-GB"/>
                </w:rPr>
                <w:t>TA445</w:t>
              </w:r>
            </w:hyperlink>
          </w:p>
          <w:p w14:paraId="7EC0A3DD" w14:textId="5E654366" w:rsidR="00DC3508" w:rsidRPr="00884993" w:rsidRDefault="00DC3508" w:rsidP="00DC3508">
            <w:pPr>
              <w:rPr>
                <w:sz w:val="22"/>
                <w:szCs w:val="22"/>
              </w:rPr>
            </w:pPr>
            <w:r>
              <w:rPr>
                <w:color w:val="000000"/>
                <w:kern w:val="24"/>
                <w:sz w:val="22"/>
                <w:szCs w:val="22"/>
                <w:lang w:eastAsia="en-GB"/>
              </w:rPr>
              <w:t xml:space="preserve">AS and nrAS: </w:t>
            </w:r>
            <w:hyperlink r:id="rId72" w:history="1">
              <w:r w:rsidRPr="00604B75">
                <w:rPr>
                  <w:rStyle w:val="Hyperlink"/>
                  <w:kern w:val="24"/>
                  <w:sz w:val="22"/>
                  <w:szCs w:val="22"/>
                  <w:lang w:eastAsia="en-GB"/>
                </w:rPr>
                <w:t>TA383</w:t>
              </w:r>
            </w:hyperlink>
          </w:p>
        </w:tc>
      </w:tr>
      <w:tr w:rsidR="00B139C2" w:rsidRPr="00884993" w14:paraId="330B8C63" w14:textId="77777777" w:rsidTr="00B36B4C">
        <w:tc>
          <w:tcPr>
            <w:tcW w:w="3326" w:type="dxa"/>
            <w:shd w:val="clear" w:color="auto" w:fill="CCFFFF"/>
          </w:tcPr>
          <w:p w14:paraId="2B2B2DEB" w14:textId="77777777" w:rsidR="00B139C2" w:rsidRPr="00884993" w:rsidRDefault="00B139C2" w:rsidP="00094335">
            <w:pPr>
              <w:rPr>
                <w:sz w:val="22"/>
                <w:szCs w:val="22"/>
              </w:rPr>
            </w:pPr>
            <w:r w:rsidRPr="00884993">
              <w:rPr>
                <w:sz w:val="22"/>
                <w:szCs w:val="22"/>
              </w:rPr>
              <w:t>Warnings/Contra-indications/Significant drug interactions:</w:t>
            </w:r>
          </w:p>
          <w:p w14:paraId="328D5D8C" w14:textId="77777777" w:rsidR="00B139C2" w:rsidRPr="00884993" w:rsidRDefault="00B139C2" w:rsidP="00094335">
            <w:pPr>
              <w:rPr>
                <w:sz w:val="22"/>
                <w:szCs w:val="22"/>
              </w:rPr>
            </w:pPr>
            <w:r w:rsidRPr="00884993">
              <w:rPr>
                <w:sz w:val="22"/>
                <w:szCs w:val="22"/>
              </w:rPr>
              <w:t>(*Refer to licensed datasheet for special warnings)</w:t>
            </w:r>
          </w:p>
        </w:tc>
        <w:tc>
          <w:tcPr>
            <w:tcW w:w="7392" w:type="dxa"/>
            <w:shd w:val="clear" w:color="auto" w:fill="auto"/>
          </w:tcPr>
          <w:p w14:paraId="744AA124" w14:textId="77777777" w:rsidR="00B139C2" w:rsidRPr="00884993" w:rsidRDefault="00B139C2" w:rsidP="00094335">
            <w:pPr>
              <w:rPr>
                <w:sz w:val="22"/>
                <w:szCs w:val="22"/>
              </w:rPr>
            </w:pPr>
            <w:r w:rsidRPr="00884993">
              <w:rPr>
                <w:sz w:val="22"/>
                <w:szCs w:val="22"/>
              </w:rPr>
              <w:t xml:space="preserve"> ● Live vaccines must not be given● Hypersensitivity to the active substance or to any of the excipients ● Active tuberculosis (TB) or other severe infections such as sepsis, and opportunistic infections ● Moderate or severe heart failure (NYHA class III/IV) </w:t>
            </w:r>
          </w:p>
          <w:p w14:paraId="6E14E7BF" w14:textId="77777777" w:rsidR="00B139C2" w:rsidRPr="00884993" w:rsidRDefault="00B139C2" w:rsidP="00094335">
            <w:pPr>
              <w:rPr>
                <w:sz w:val="22"/>
                <w:szCs w:val="22"/>
              </w:rPr>
            </w:pPr>
            <w:r w:rsidRPr="00884993">
              <w:rPr>
                <w:sz w:val="22"/>
                <w:szCs w:val="22"/>
              </w:rPr>
              <w:t>*The datasheet contains a warning regarding a minor influence on the ability to drive and use machines, (including vertigo, vision disorder and fatigue) may occur following administration</w:t>
            </w:r>
          </w:p>
        </w:tc>
      </w:tr>
      <w:tr w:rsidR="00B139C2" w:rsidRPr="00884993" w14:paraId="4B4C8D65" w14:textId="77777777" w:rsidTr="00B36B4C">
        <w:tc>
          <w:tcPr>
            <w:tcW w:w="3326" w:type="dxa"/>
            <w:shd w:val="clear" w:color="auto" w:fill="CCFFFF"/>
          </w:tcPr>
          <w:p w14:paraId="18B41B41" w14:textId="77777777" w:rsidR="00B139C2" w:rsidRPr="00884993" w:rsidRDefault="00B139C2" w:rsidP="00094335">
            <w:pPr>
              <w:rPr>
                <w:sz w:val="22"/>
                <w:szCs w:val="22"/>
              </w:rPr>
            </w:pPr>
            <w:r w:rsidRPr="00884993">
              <w:rPr>
                <w:sz w:val="22"/>
                <w:szCs w:val="22"/>
              </w:rPr>
              <w:t>Assessment of Response:</w:t>
            </w:r>
          </w:p>
        </w:tc>
        <w:tc>
          <w:tcPr>
            <w:tcW w:w="7392" w:type="dxa"/>
            <w:shd w:val="clear" w:color="auto" w:fill="auto"/>
          </w:tcPr>
          <w:p w14:paraId="50864D33" w14:textId="77777777" w:rsidR="00B139C2" w:rsidRPr="00884993" w:rsidRDefault="00B139C2" w:rsidP="00094335">
            <w:pPr>
              <w:rPr>
                <w:sz w:val="22"/>
                <w:szCs w:val="22"/>
              </w:rPr>
            </w:pPr>
            <w:r w:rsidRPr="00884993">
              <w:rPr>
                <w:sz w:val="22"/>
                <w:szCs w:val="22"/>
              </w:rPr>
              <w:t>Available data suggest that clinical response is usually achieved within 12 weeks of treatment (refer to BSR/NICE guidance regarding definition of “adequate response”).</w:t>
            </w:r>
          </w:p>
        </w:tc>
      </w:tr>
      <w:tr w:rsidR="00B139C2" w:rsidRPr="00884993" w14:paraId="2E17C729" w14:textId="77777777" w:rsidTr="00B36B4C">
        <w:tc>
          <w:tcPr>
            <w:tcW w:w="3326" w:type="dxa"/>
            <w:shd w:val="clear" w:color="auto" w:fill="CCFFFF"/>
          </w:tcPr>
          <w:p w14:paraId="52D93CCC" w14:textId="77777777" w:rsidR="00B139C2" w:rsidRPr="00884993" w:rsidRDefault="00B139C2" w:rsidP="00094335">
            <w:pPr>
              <w:rPr>
                <w:sz w:val="22"/>
                <w:szCs w:val="22"/>
              </w:rPr>
            </w:pPr>
            <w:r w:rsidRPr="00884993">
              <w:rPr>
                <w:sz w:val="22"/>
                <w:szCs w:val="22"/>
              </w:rPr>
              <w:t>Baseline Tests:</w:t>
            </w:r>
          </w:p>
        </w:tc>
        <w:tc>
          <w:tcPr>
            <w:tcW w:w="7392" w:type="dxa"/>
            <w:shd w:val="clear" w:color="auto" w:fill="auto"/>
          </w:tcPr>
          <w:p w14:paraId="72FE4788" w14:textId="77777777" w:rsidR="00B139C2" w:rsidRPr="00884993" w:rsidRDefault="00B139C2" w:rsidP="00B139C2">
            <w:pPr>
              <w:numPr>
                <w:ilvl w:val="0"/>
                <w:numId w:val="16"/>
              </w:numPr>
              <w:overflowPunct/>
              <w:autoSpaceDE/>
              <w:autoSpaceDN/>
              <w:adjustRightInd/>
              <w:textAlignment w:val="auto"/>
              <w:rPr>
                <w:sz w:val="22"/>
                <w:szCs w:val="22"/>
              </w:rPr>
            </w:pPr>
            <w:r w:rsidRPr="00884993">
              <w:rPr>
                <w:sz w:val="22"/>
                <w:szCs w:val="22"/>
              </w:rPr>
              <w:t>Full clinical/infection screen</w:t>
            </w:r>
          </w:p>
          <w:p w14:paraId="200B1C0D" w14:textId="77777777" w:rsidR="00B139C2" w:rsidRPr="00884993" w:rsidRDefault="00B139C2" w:rsidP="00B139C2">
            <w:pPr>
              <w:numPr>
                <w:ilvl w:val="0"/>
                <w:numId w:val="16"/>
              </w:numPr>
              <w:overflowPunct/>
              <w:autoSpaceDE/>
              <w:autoSpaceDN/>
              <w:adjustRightInd/>
              <w:textAlignment w:val="auto"/>
              <w:rPr>
                <w:sz w:val="22"/>
                <w:szCs w:val="22"/>
              </w:rPr>
            </w:pPr>
            <w:r w:rsidRPr="00884993">
              <w:rPr>
                <w:sz w:val="22"/>
                <w:szCs w:val="22"/>
              </w:rPr>
              <w:t>Urinalysis &amp; BP</w:t>
            </w:r>
          </w:p>
          <w:p w14:paraId="653FEB13" w14:textId="77777777" w:rsidR="00B139C2" w:rsidRPr="00884993" w:rsidRDefault="00B139C2" w:rsidP="00B139C2">
            <w:pPr>
              <w:numPr>
                <w:ilvl w:val="0"/>
                <w:numId w:val="16"/>
              </w:numPr>
              <w:overflowPunct/>
              <w:autoSpaceDE/>
              <w:autoSpaceDN/>
              <w:adjustRightInd/>
              <w:textAlignment w:val="auto"/>
              <w:rPr>
                <w:sz w:val="22"/>
                <w:szCs w:val="22"/>
                <w:lang w:val="sv-SE"/>
              </w:rPr>
            </w:pPr>
            <w:r w:rsidRPr="00884993">
              <w:rPr>
                <w:sz w:val="22"/>
                <w:szCs w:val="22"/>
                <w:lang w:val="sv-SE"/>
              </w:rPr>
              <w:t>FBC/U&amp;E/LFT/ANA/DNA</w:t>
            </w:r>
          </w:p>
          <w:p w14:paraId="602A1543" w14:textId="77777777" w:rsidR="00B139C2" w:rsidRPr="00884993" w:rsidRDefault="00B139C2" w:rsidP="00B139C2">
            <w:pPr>
              <w:numPr>
                <w:ilvl w:val="0"/>
                <w:numId w:val="16"/>
              </w:numPr>
              <w:overflowPunct/>
              <w:autoSpaceDE/>
              <w:autoSpaceDN/>
              <w:adjustRightInd/>
              <w:textAlignment w:val="auto"/>
              <w:rPr>
                <w:sz w:val="22"/>
                <w:szCs w:val="22"/>
              </w:rPr>
            </w:pPr>
            <w:r w:rsidRPr="00884993">
              <w:rPr>
                <w:sz w:val="22"/>
                <w:szCs w:val="22"/>
              </w:rPr>
              <w:t>CXR (evidence TB/fibrosis)</w:t>
            </w:r>
          </w:p>
          <w:p w14:paraId="497E919E" w14:textId="77777777" w:rsidR="00B139C2" w:rsidRPr="00884993" w:rsidRDefault="00B139C2" w:rsidP="00B139C2">
            <w:pPr>
              <w:numPr>
                <w:ilvl w:val="0"/>
                <w:numId w:val="16"/>
              </w:numPr>
              <w:overflowPunct/>
              <w:autoSpaceDE/>
              <w:autoSpaceDN/>
              <w:adjustRightInd/>
              <w:textAlignment w:val="auto"/>
              <w:rPr>
                <w:sz w:val="22"/>
                <w:szCs w:val="22"/>
              </w:rPr>
            </w:pPr>
            <w:r w:rsidRPr="00884993">
              <w:rPr>
                <w:sz w:val="22"/>
                <w:szCs w:val="22"/>
              </w:rPr>
              <w:t>Quantiferon or TB spot (as indicated)</w:t>
            </w:r>
          </w:p>
          <w:p w14:paraId="72BF4452" w14:textId="4A8665B4" w:rsidR="00B36B4C" w:rsidRDefault="00B36B4C" w:rsidP="00B36B4C">
            <w:pPr>
              <w:numPr>
                <w:ilvl w:val="0"/>
                <w:numId w:val="16"/>
              </w:numPr>
              <w:overflowPunct/>
              <w:autoSpaceDE/>
              <w:autoSpaceDN/>
              <w:adjustRightInd/>
              <w:textAlignment w:val="auto"/>
              <w:rPr>
                <w:sz w:val="22"/>
                <w:szCs w:val="22"/>
              </w:rPr>
            </w:pPr>
            <w:r>
              <w:rPr>
                <w:sz w:val="22"/>
                <w:szCs w:val="22"/>
              </w:rPr>
              <w:t>Consider h</w:t>
            </w:r>
            <w:r w:rsidR="00B139C2" w:rsidRPr="00884993">
              <w:rPr>
                <w:sz w:val="22"/>
                <w:szCs w:val="22"/>
              </w:rPr>
              <w:t>epatitis B&amp;C + HIV</w:t>
            </w:r>
          </w:p>
          <w:p w14:paraId="3778BDD8" w14:textId="489AB930" w:rsidR="00B139C2" w:rsidRPr="00884993" w:rsidRDefault="00B139C2" w:rsidP="00B36B4C">
            <w:pPr>
              <w:numPr>
                <w:ilvl w:val="0"/>
                <w:numId w:val="16"/>
              </w:numPr>
              <w:overflowPunct/>
              <w:autoSpaceDE/>
              <w:autoSpaceDN/>
              <w:adjustRightInd/>
              <w:textAlignment w:val="auto"/>
              <w:rPr>
                <w:sz w:val="22"/>
                <w:szCs w:val="22"/>
              </w:rPr>
            </w:pPr>
            <w:r w:rsidRPr="00884993">
              <w:rPr>
                <w:sz w:val="22"/>
                <w:szCs w:val="22"/>
              </w:rPr>
              <w:t>Pregnancy test if indicated</w:t>
            </w:r>
          </w:p>
        </w:tc>
      </w:tr>
      <w:tr w:rsidR="00B139C2" w:rsidRPr="00884993" w14:paraId="4DBE0361" w14:textId="77777777" w:rsidTr="00B36B4C">
        <w:tc>
          <w:tcPr>
            <w:tcW w:w="3326" w:type="dxa"/>
            <w:shd w:val="clear" w:color="auto" w:fill="CCFFFF"/>
          </w:tcPr>
          <w:p w14:paraId="61403281" w14:textId="77777777" w:rsidR="00B139C2" w:rsidRPr="00884993" w:rsidRDefault="00B139C2" w:rsidP="00094335">
            <w:pPr>
              <w:rPr>
                <w:sz w:val="22"/>
                <w:szCs w:val="22"/>
              </w:rPr>
            </w:pPr>
            <w:r w:rsidRPr="00884993">
              <w:rPr>
                <w:sz w:val="22"/>
                <w:szCs w:val="22"/>
              </w:rPr>
              <w:t>Routine Monitoring:</w:t>
            </w:r>
          </w:p>
        </w:tc>
        <w:tc>
          <w:tcPr>
            <w:tcW w:w="7392" w:type="dxa"/>
            <w:shd w:val="clear" w:color="auto" w:fill="auto"/>
          </w:tcPr>
          <w:p w14:paraId="76DE6B0F" w14:textId="51027A2D" w:rsidR="00B139C2" w:rsidRPr="00884993" w:rsidRDefault="00B139C2" w:rsidP="00B36B4C">
            <w:pPr>
              <w:rPr>
                <w:sz w:val="22"/>
                <w:szCs w:val="22"/>
              </w:rPr>
            </w:pPr>
            <w:r w:rsidRPr="00884993">
              <w:rPr>
                <w:sz w:val="22"/>
                <w:szCs w:val="22"/>
              </w:rPr>
              <w:t xml:space="preserve">Continue standard DMARD monitoring, if monotherapy FBC/LFT at 1, 3 and 6 </w:t>
            </w:r>
            <w:r w:rsidR="00B36B4C">
              <w:rPr>
                <w:sz w:val="22"/>
                <w:szCs w:val="22"/>
              </w:rPr>
              <w:t>months then 6</w:t>
            </w:r>
            <w:r w:rsidRPr="00884993">
              <w:rPr>
                <w:sz w:val="22"/>
                <w:szCs w:val="22"/>
              </w:rPr>
              <w:t xml:space="preserve"> monthly </w:t>
            </w:r>
          </w:p>
        </w:tc>
      </w:tr>
      <w:tr w:rsidR="00B139C2" w:rsidRPr="00884993" w14:paraId="34FE32EA" w14:textId="77777777" w:rsidTr="00B36B4C">
        <w:tc>
          <w:tcPr>
            <w:tcW w:w="3326" w:type="dxa"/>
            <w:shd w:val="clear" w:color="auto" w:fill="CCFFFF"/>
          </w:tcPr>
          <w:p w14:paraId="0D946D7E" w14:textId="77777777" w:rsidR="00B139C2" w:rsidRPr="00884993" w:rsidRDefault="00B139C2" w:rsidP="00094335">
            <w:pPr>
              <w:rPr>
                <w:sz w:val="22"/>
                <w:szCs w:val="22"/>
              </w:rPr>
            </w:pPr>
            <w:r w:rsidRPr="00884993">
              <w:rPr>
                <w:sz w:val="22"/>
                <w:szCs w:val="22"/>
              </w:rPr>
              <w:t>Indications for Stopping Therapy:</w:t>
            </w:r>
          </w:p>
        </w:tc>
        <w:tc>
          <w:tcPr>
            <w:tcW w:w="7392" w:type="dxa"/>
            <w:shd w:val="clear" w:color="auto" w:fill="auto"/>
          </w:tcPr>
          <w:p w14:paraId="7D46FC94" w14:textId="77777777" w:rsidR="00B36B4C" w:rsidRDefault="00B139C2" w:rsidP="00094335">
            <w:pPr>
              <w:rPr>
                <w:b/>
                <w:sz w:val="22"/>
                <w:szCs w:val="22"/>
              </w:rPr>
            </w:pPr>
            <w:r w:rsidRPr="00884993">
              <w:rPr>
                <w:b/>
                <w:sz w:val="22"/>
                <w:szCs w:val="22"/>
              </w:rPr>
              <w:t xml:space="preserve">Stop if: </w:t>
            </w:r>
          </w:p>
          <w:p w14:paraId="123938AB" w14:textId="5E910A5A" w:rsidR="00B139C2" w:rsidRPr="00884993" w:rsidRDefault="00B139C2" w:rsidP="00094335">
            <w:pPr>
              <w:rPr>
                <w:sz w:val="22"/>
                <w:szCs w:val="22"/>
              </w:rPr>
            </w:pPr>
            <w:r w:rsidRPr="00884993">
              <w:rPr>
                <w:b/>
                <w:sz w:val="22"/>
                <w:szCs w:val="22"/>
              </w:rPr>
              <w:t>●</w:t>
            </w:r>
            <w:r w:rsidRPr="00884993">
              <w:rPr>
                <w:sz w:val="22"/>
                <w:szCs w:val="22"/>
              </w:rPr>
              <w:t xml:space="preserve">Evidence of infection </w:t>
            </w:r>
          </w:p>
          <w:p w14:paraId="383FACF2" w14:textId="0C2BF14A" w:rsidR="00B139C2" w:rsidRPr="00884993" w:rsidRDefault="00B139C2" w:rsidP="00094335">
            <w:pPr>
              <w:rPr>
                <w:sz w:val="22"/>
                <w:szCs w:val="22"/>
              </w:rPr>
            </w:pPr>
            <w:r w:rsidRPr="00884993">
              <w:rPr>
                <w:sz w:val="22"/>
                <w:szCs w:val="22"/>
              </w:rPr>
              <w:t>●</w:t>
            </w:r>
            <w:r w:rsidR="00B36B4C">
              <w:rPr>
                <w:sz w:val="22"/>
                <w:szCs w:val="22"/>
              </w:rPr>
              <w:t>Possible</w:t>
            </w:r>
            <w:r w:rsidRPr="00884993">
              <w:rPr>
                <w:sz w:val="22"/>
                <w:szCs w:val="22"/>
              </w:rPr>
              <w:t xml:space="preserve"> demyelination </w:t>
            </w:r>
          </w:p>
          <w:p w14:paraId="7DDA9BEC" w14:textId="77777777" w:rsidR="00B139C2" w:rsidRPr="00884993" w:rsidRDefault="00B139C2" w:rsidP="00094335">
            <w:pPr>
              <w:rPr>
                <w:sz w:val="22"/>
                <w:szCs w:val="22"/>
              </w:rPr>
            </w:pPr>
            <w:r w:rsidRPr="00884993">
              <w:rPr>
                <w:sz w:val="22"/>
                <w:szCs w:val="22"/>
              </w:rPr>
              <w:t xml:space="preserve">●SLE or new autoimmune syndrome </w:t>
            </w:r>
          </w:p>
          <w:p w14:paraId="469CAF09" w14:textId="44066823" w:rsidR="00B139C2" w:rsidRPr="00884993" w:rsidRDefault="00B139C2" w:rsidP="00094335">
            <w:pPr>
              <w:rPr>
                <w:sz w:val="22"/>
                <w:szCs w:val="22"/>
              </w:rPr>
            </w:pPr>
            <w:r w:rsidRPr="00884993">
              <w:rPr>
                <w:sz w:val="22"/>
                <w:szCs w:val="22"/>
              </w:rPr>
              <w:t>●Severe injection site reaction (If minor reaction try oral</w:t>
            </w:r>
            <w:r w:rsidR="00B36B4C">
              <w:rPr>
                <w:sz w:val="22"/>
                <w:szCs w:val="22"/>
              </w:rPr>
              <w:t>/topical</w:t>
            </w:r>
            <w:r w:rsidRPr="00884993">
              <w:rPr>
                <w:sz w:val="22"/>
                <w:szCs w:val="22"/>
              </w:rPr>
              <w:t xml:space="preserve"> anti-histamine or topical corticosteroids)</w:t>
            </w:r>
          </w:p>
          <w:p w14:paraId="03F3C151" w14:textId="77777777" w:rsidR="00B139C2" w:rsidRPr="00884993" w:rsidRDefault="00B139C2" w:rsidP="00094335">
            <w:pPr>
              <w:rPr>
                <w:sz w:val="22"/>
                <w:szCs w:val="22"/>
              </w:rPr>
            </w:pPr>
            <w:r w:rsidRPr="00884993">
              <w:rPr>
                <w:sz w:val="22"/>
                <w:szCs w:val="22"/>
              </w:rPr>
              <w:t>WCC           &lt;3.5 10</w:t>
            </w:r>
            <w:r w:rsidRPr="00884993">
              <w:rPr>
                <w:sz w:val="22"/>
                <w:szCs w:val="22"/>
                <w:vertAlign w:val="superscript"/>
              </w:rPr>
              <w:t>9/</w:t>
            </w:r>
            <w:r w:rsidRPr="00884993">
              <w:rPr>
                <w:sz w:val="22"/>
                <w:szCs w:val="22"/>
              </w:rPr>
              <w:t>L or below local normal range</w:t>
            </w:r>
          </w:p>
          <w:p w14:paraId="394BFA1F" w14:textId="77777777" w:rsidR="00B139C2" w:rsidRPr="00884993" w:rsidRDefault="00B139C2" w:rsidP="00094335">
            <w:pPr>
              <w:rPr>
                <w:sz w:val="22"/>
                <w:szCs w:val="22"/>
              </w:rPr>
            </w:pPr>
            <w:r w:rsidRPr="00884993">
              <w:rPr>
                <w:sz w:val="22"/>
                <w:szCs w:val="22"/>
              </w:rPr>
              <w:t>Neutrophils &lt; 2.0 10</w:t>
            </w:r>
            <w:r w:rsidRPr="00884993">
              <w:rPr>
                <w:sz w:val="22"/>
                <w:szCs w:val="22"/>
                <w:vertAlign w:val="superscript"/>
              </w:rPr>
              <w:t>9/</w:t>
            </w:r>
            <w:r w:rsidRPr="00884993">
              <w:rPr>
                <w:sz w:val="22"/>
                <w:szCs w:val="22"/>
              </w:rPr>
              <w:t>L or below local normal range</w:t>
            </w:r>
          </w:p>
          <w:p w14:paraId="32C74BDB" w14:textId="77777777" w:rsidR="00B139C2" w:rsidRPr="00884993" w:rsidRDefault="00B139C2" w:rsidP="00094335">
            <w:pPr>
              <w:rPr>
                <w:sz w:val="22"/>
                <w:szCs w:val="22"/>
              </w:rPr>
            </w:pPr>
            <w:r w:rsidRPr="00884993">
              <w:rPr>
                <w:sz w:val="22"/>
                <w:szCs w:val="22"/>
              </w:rPr>
              <w:t>Platelets      &lt;150 10</w:t>
            </w:r>
            <w:r w:rsidRPr="00884993">
              <w:rPr>
                <w:sz w:val="22"/>
                <w:szCs w:val="22"/>
                <w:vertAlign w:val="superscript"/>
              </w:rPr>
              <w:t>9/</w:t>
            </w:r>
            <w:r w:rsidRPr="00884993">
              <w:rPr>
                <w:sz w:val="22"/>
                <w:szCs w:val="22"/>
              </w:rPr>
              <w:t>L or below local normal range</w:t>
            </w:r>
          </w:p>
          <w:p w14:paraId="22B5ED2C" w14:textId="77777777" w:rsidR="00B139C2" w:rsidRPr="00884993" w:rsidRDefault="00B139C2" w:rsidP="00094335">
            <w:pPr>
              <w:rPr>
                <w:sz w:val="22"/>
                <w:szCs w:val="22"/>
              </w:rPr>
            </w:pPr>
            <w:r w:rsidRPr="00884993">
              <w:rPr>
                <w:sz w:val="22"/>
                <w:szCs w:val="22"/>
              </w:rPr>
              <w:t>AST or ALT &gt; 3 times normal range (iu/L)</w:t>
            </w:r>
          </w:p>
          <w:p w14:paraId="385877F1" w14:textId="77777777" w:rsidR="00B139C2" w:rsidRPr="00884993" w:rsidRDefault="00B139C2" w:rsidP="00094335">
            <w:pPr>
              <w:rPr>
                <w:sz w:val="22"/>
                <w:szCs w:val="22"/>
              </w:rPr>
            </w:pPr>
            <w:r w:rsidRPr="00884993">
              <w:rPr>
                <w:b/>
                <w:sz w:val="22"/>
                <w:szCs w:val="22"/>
              </w:rPr>
              <w:t>CONTACT THE RHEUMATOLOGY SERVICE</w:t>
            </w:r>
          </w:p>
        </w:tc>
      </w:tr>
      <w:tr w:rsidR="00B139C2" w:rsidRPr="00884993" w14:paraId="460488F9" w14:textId="77777777" w:rsidTr="00B36B4C">
        <w:tc>
          <w:tcPr>
            <w:tcW w:w="10718" w:type="dxa"/>
            <w:gridSpan w:val="2"/>
            <w:shd w:val="clear" w:color="auto" w:fill="auto"/>
          </w:tcPr>
          <w:p w14:paraId="16F41719" w14:textId="77777777" w:rsidR="00B139C2" w:rsidRPr="00884993" w:rsidRDefault="00B139C2" w:rsidP="00094335">
            <w:pPr>
              <w:rPr>
                <w:sz w:val="22"/>
                <w:szCs w:val="22"/>
              </w:rPr>
            </w:pPr>
            <w:r w:rsidRPr="00884993">
              <w:rPr>
                <w:sz w:val="22"/>
                <w:szCs w:val="22"/>
              </w:rPr>
              <w:t xml:space="preserve">Please refer to licensed datasheet for more comprehensive prescribing information: </w:t>
            </w:r>
          </w:p>
          <w:p w14:paraId="2D26D6A0" w14:textId="77777777" w:rsidR="00B139C2" w:rsidRPr="00884993" w:rsidRDefault="00323D19" w:rsidP="00094335">
            <w:pPr>
              <w:rPr>
                <w:sz w:val="22"/>
                <w:szCs w:val="22"/>
              </w:rPr>
            </w:pPr>
            <w:hyperlink r:id="rId73" w:history="1">
              <w:r w:rsidR="00B139C2" w:rsidRPr="00884993">
                <w:rPr>
                  <w:rStyle w:val="Hyperlink"/>
                  <w:sz w:val="22"/>
                  <w:szCs w:val="22"/>
                </w:rPr>
                <w:t>http://www.medicines.org.uk/EMC/medicine/22323/SPC/Cimzia+200+mg+solution+for+injection/</w:t>
              </w:r>
            </w:hyperlink>
          </w:p>
        </w:tc>
      </w:tr>
    </w:tbl>
    <w:p w14:paraId="370791EC" w14:textId="77777777" w:rsidR="00B139C2" w:rsidRDefault="00B139C2" w:rsidP="00B139C2"/>
    <w:p w14:paraId="3FE05E08" w14:textId="77777777" w:rsidR="00B139C2" w:rsidRDefault="00B139C2">
      <w:pPr>
        <w:overflowPunct/>
        <w:autoSpaceDE/>
        <w:autoSpaceDN/>
        <w:adjustRightInd/>
        <w:spacing w:after="160" w:line="259" w:lineRule="auto"/>
        <w:textAlignment w:val="auto"/>
        <w:rPr>
          <w:rFonts w:eastAsia="Arial Unicode MS"/>
        </w:rPr>
      </w:pPr>
    </w:p>
    <w:p w14:paraId="45DDA7B8" w14:textId="77777777" w:rsidR="00B36B4C" w:rsidRDefault="00B36B4C">
      <w:pPr>
        <w:overflowPunct/>
        <w:autoSpaceDE/>
        <w:autoSpaceDN/>
        <w:adjustRightInd/>
        <w:spacing w:after="160" w:line="259" w:lineRule="auto"/>
        <w:textAlignment w:val="auto"/>
        <w:rPr>
          <w:rFonts w:eastAsiaTheme="majorEastAsia" w:cstheme="majorBidi"/>
          <w:b/>
          <w:sz w:val="26"/>
          <w:szCs w:val="26"/>
        </w:rPr>
      </w:pPr>
      <w:r>
        <w:br w:type="page"/>
      </w:r>
    </w:p>
    <w:p w14:paraId="648BEB5F" w14:textId="5B696FA7" w:rsidR="00B139C2" w:rsidRDefault="00CF234C" w:rsidP="00B139C2">
      <w:pPr>
        <w:pStyle w:val="Heading2"/>
        <w:rPr>
          <w:rFonts w:eastAsia="Arial Unicode MS"/>
        </w:rPr>
      </w:pPr>
      <w:bookmarkStart w:id="26" w:name="_Toc531873938"/>
      <w:r w:rsidRPr="006140D1">
        <w:lastRenderedPageBreak/>
        <w:t>Etanercept (Enbrel®</w:t>
      </w:r>
      <w:r w:rsidR="000F6769">
        <w:t>; Benepali</w:t>
      </w:r>
      <w:r w:rsidR="0013271F" w:rsidRPr="006140D1">
        <w:t>®</w:t>
      </w:r>
      <w:r w:rsidRPr="006140D1">
        <w:t>)</w:t>
      </w:r>
      <w:bookmarkEnd w:id="26"/>
      <w:r w:rsidRPr="006140D1">
        <w:t xml:space="preserve"> </w:t>
      </w:r>
    </w:p>
    <w:tbl>
      <w:tblPr>
        <w:tblW w:w="1058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7274"/>
      </w:tblGrid>
      <w:tr w:rsidR="00B139C2" w:rsidRPr="00884993" w14:paraId="1C1D169A" w14:textId="77777777" w:rsidTr="00094335">
        <w:tc>
          <w:tcPr>
            <w:tcW w:w="3315" w:type="dxa"/>
            <w:shd w:val="clear" w:color="auto" w:fill="CCFFFF"/>
          </w:tcPr>
          <w:p w14:paraId="5E7AD80A" w14:textId="77777777" w:rsidR="00B139C2" w:rsidRPr="00884993" w:rsidRDefault="00B139C2" w:rsidP="00094335">
            <w:pPr>
              <w:rPr>
                <w:sz w:val="22"/>
                <w:szCs w:val="22"/>
              </w:rPr>
            </w:pPr>
            <w:r w:rsidRPr="00884993">
              <w:rPr>
                <w:sz w:val="22"/>
                <w:szCs w:val="22"/>
              </w:rPr>
              <w:t>Therapeutic Class:</w:t>
            </w:r>
          </w:p>
        </w:tc>
        <w:tc>
          <w:tcPr>
            <w:tcW w:w="7274" w:type="dxa"/>
            <w:shd w:val="clear" w:color="auto" w:fill="auto"/>
          </w:tcPr>
          <w:p w14:paraId="29BEE9D3" w14:textId="29DF2F6F" w:rsidR="00B139C2" w:rsidRPr="00884993" w:rsidRDefault="00884993" w:rsidP="00094335">
            <w:pPr>
              <w:rPr>
                <w:sz w:val="22"/>
                <w:szCs w:val="22"/>
              </w:rPr>
            </w:pPr>
            <w:r w:rsidRPr="00884993">
              <w:rPr>
                <w:sz w:val="22"/>
                <w:szCs w:val="22"/>
              </w:rPr>
              <w:t>Biologic - TNFα</w:t>
            </w:r>
            <w:r w:rsidR="00B139C2" w:rsidRPr="00884993">
              <w:rPr>
                <w:sz w:val="22"/>
                <w:szCs w:val="22"/>
              </w:rPr>
              <w:t xml:space="preserve"> Inhibitor </w:t>
            </w:r>
          </w:p>
        </w:tc>
      </w:tr>
      <w:tr w:rsidR="00B139C2" w:rsidRPr="00884993" w14:paraId="17CB55D2" w14:textId="77777777" w:rsidTr="00094335">
        <w:tc>
          <w:tcPr>
            <w:tcW w:w="3315" w:type="dxa"/>
            <w:shd w:val="clear" w:color="auto" w:fill="CCFFFF"/>
          </w:tcPr>
          <w:p w14:paraId="22F8C858" w14:textId="77777777" w:rsidR="00B139C2" w:rsidRPr="00884993" w:rsidRDefault="00B139C2" w:rsidP="00094335">
            <w:pPr>
              <w:rPr>
                <w:sz w:val="22"/>
                <w:szCs w:val="22"/>
              </w:rPr>
            </w:pPr>
            <w:r w:rsidRPr="00884993">
              <w:rPr>
                <w:sz w:val="22"/>
                <w:szCs w:val="22"/>
              </w:rPr>
              <w:t>Licensed Indications:</w:t>
            </w:r>
          </w:p>
        </w:tc>
        <w:tc>
          <w:tcPr>
            <w:tcW w:w="7274" w:type="dxa"/>
            <w:shd w:val="clear" w:color="auto" w:fill="auto"/>
          </w:tcPr>
          <w:p w14:paraId="3D2AACDD" w14:textId="77777777" w:rsidR="00B139C2" w:rsidRPr="00884993" w:rsidRDefault="00B139C2" w:rsidP="00094335">
            <w:pPr>
              <w:rPr>
                <w:sz w:val="22"/>
                <w:szCs w:val="22"/>
              </w:rPr>
            </w:pPr>
            <w:r w:rsidRPr="00884993">
              <w:rPr>
                <w:sz w:val="22"/>
                <w:szCs w:val="22"/>
              </w:rPr>
              <w:t>Etanercept is licensed for the following rheumatological conditions:</w:t>
            </w:r>
          </w:p>
          <w:p w14:paraId="29366C69" w14:textId="77777777" w:rsidR="00B139C2" w:rsidRPr="00884993" w:rsidRDefault="00B139C2" w:rsidP="00B139C2">
            <w:pPr>
              <w:numPr>
                <w:ilvl w:val="0"/>
                <w:numId w:val="18"/>
              </w:numPr>
              <w:rPr>
                <w:sz w:val="22"/>
                <w:szCs w:val="22"/>
              </w:rPr>
            </w:pPr>
            <w:r w:rsidRPr="00884993">
              <w:rPr>
                <w:sz w:val="22"/>
                <w:szCs w:val="22"/>
              </w:rPr>
              <w:t>RA (with or without methotrexate, but combination preferred)</w:t>
            </w:r>
          </w:p>
          <w:p w14:paraId="27E9AE9F" w14:textId="77777777" w:rsidR="00B139C2" w:rsidRPr="00884993" w:rsidRDefault="00B139C2" w:rsidP="00B139C2">
            <w:pPr>
              <w:numPr>
                <w:ilvl w:val="0"/>
                <w:numId w:val="18"/>
              </w:numPr>
              <w:rPr>
                <w:sz w:val="22"/>
                <w:szCs w:val="22"/>
              </w:rPr>
            </w:pPr>
            <w:r w:rsidRPr="00884993">
              <w:rPr>
                <w:sz w:val="22"/>
                <w:szCs w:val="22"/>
              </w:rPr>
              <w:t>JIA (with or without methotrexate, but combination preferred)</w:t>
            </w:r>
          </w:p>
          <w:p w14:paraId="4ADCBF43" w14:textId="77777777" w:rsidR="00B139C2" w:rsidRPr="00884993" w:rsidRDefault="00B139C2" w:rsidP="00B139C2">
            <w:pPr>
              <w:numPr>
                <w:ilvl w:val="0"/>
                <w:numId w:val="18"/>
              </w:numPr>
              <w:rPr>
                <w:sz w:val="22"/>
                <w:szCs w:val="22"/>
              </w:rPr>
            </w:pPr>
            <w:r w:rsidRPr="00884993">
              <w:rPr>
                <w:sz w:val="22"/>
                <w:szCs w:val="22"/>
              </w:rPr>
              <w:t>AS</w:t>
            </w:r>
          </w:p>
          <w:p w14:paraId="11A23B58" w14:textId="77777777" w:rsidR="00B139C2" w:rsidRPr="00884993" w:rsidRDefault="00B139C2" w:rsidP="00B139C2">
            <w:pPr>
              <w:numPr>
                <w:ilvl w:val="0"/>
                <w:numId w:val="18"/>
              </w:numPr>
              <w:rPr>
                <w:sz w:val="22"/>
                <w:szCs w:val="22"/>
              </w:rPr>
            </w:pPr>
            <w:r w:rsidRPr="00884993">
              <w:rPr>
                <w:sz w:val="22"/>
                <w:szCs w:val="22"/>
              </w:rPr>
              <w:t>PsA</w:t>
            </w:r>
          </w:p>
        </w:tc>
      </w:tr>
      <w:tr w:rsidR="00B139C2" w:rsidRPr="00884993" w14:paraId="05EF011B" w14:textId="77777777" w:rsidTr="00094335">
        <w:tc>
          <w:tcPr>
            <w:tcW w:w="3315" w:type="dxa"/>
            <w:shd w:val="clear" w:color="auto" w:fill="CCFFFF"/>
          </w:tcPr>
          <w:p w14:paraId="6EA80B44" w14:textId="77777777" w:rsidR="00B139C2" w:rsidRPr="00884993" w:rsidRDefault="00B139C2" w:rsidP="00094335">
            <w:pPr>
              <w:rPr>
                <w:sz w:val="22"/>
                <w:szCs w:val="22"/>
              </w:rPr>
            </w:pPr>
            <w:r w:rsidRPr="00884993">
              <w:rPr>
                <w:sz w:val="22"/>
                <w:szCs w:val="22"/>
              </w:rPr>
              <w:t>Licensed Dose:</w:t>
            </w:r>
          </w:p>
        </w:tc>
        <w:tc>
          <w:tcPr>
            <w:tcW w:w="7274" w:type="dxa"/>
            <w:shd w:val="clear" w:color="auto" w:fill="auto"/>
          </w:tcPr>
          <w:p w14:paraId="3FC50F76" w14:textId="77777777" w:rsidR="00B139C2" w:rsidRPr="00884993" w:rsidRDefault="00B139C2" w:rsidP="00094335">
            <w:pPr>
              <w:rPr>
                <w:sz w:val="22"/>
                <w:szCs w:val="22"/>
              </w:rPr>
            </w:pPr>
            <w:r w:rsidRPr="00884993">
              <w:rPr>
                <w:sz w:val="22"/>
                <w:szCs w:val="22"/>
              </w:rPr>
              <w:t>50mg weekly or 25mg twice a week by subcutaneous injection</w:t>
            </w:r>
          </w:p>
        </w:tc>
      </w:tr>
      <w:tr w:rsidR="00B139C2" w:rsidRPr="00884993" w14:paraId="08231CBD" w14:textId="77777777" w:rsidTr="00094335">
        <w:tc>
          <w:tcPr>
            <w:tcW w:w="3315" w:type="dxa"/>
            <w:shd w:val="clear" w:color="auto" w:fill="CCFFFF"/>
          </w:tcPr>
          <w:p w14:paraId="3D0A171D" w14:textId="77777777" w:rsidR="00B139C2" w:rsidRPr="00884993" w:rsidRDefault="00B139C2" w:rsidP="00094335">
            <w:pPr>
              <w:rPr>
                <w:sz w:val="22"/>
                <w:szCs w:val="22"/>
              </w:rPr>
            </w:pPr>
            <w:r w:rsidRPr="00884993">
              <w:rPr>
                <w:sz w:val="22"/>
                <w:szCs w:val="22"/>
              </w:rPr>
              <w:t>Preparations:</w:t>
            </w:r>
          </w:p>
        </w:tc>
        <w:tc>
          <w:tcPr>
            <w:tcW w:w="7274" w:type="dxa"/>
            <w:shd w:val="clear" w:color="auto" w:fill="auto"/>
          </w:tcPr>
          <w:p w14:paraId="4725971D" w14:textId="77777777" w:rsidR="00B139C2" w:rsidRPr="00884993" w:rsidRDefault="00B139C2" w:rsidP="00094335">
            <w:pPr>
              <w:rPr>
                <w:sz w:val="22"/>
                <w:szCs w:val="22"/>
              </w:rPr>
            </w:pPr>
            <w:r w:rsidRPr="00884993">
              <w:rPr>
                <w:sz w:val="22"/>
                <w:szCs w:val="22"/>
              </w:rPr>
              <w:t>50mg &amp; 25mg prefilled syringe, 50mg prefilled pen, 25mg &amp; 10mg dry powder vial.</w:t>
            </w:r>
          </w:p>
        </w:tc>
      </w:tr>
      <w:tr w:rsidR="00B139C2" w:rsidRPr="00884993" w14:paraId="017E5F85" w14:textId="77777777" w:rsidTr="00094335">
        <w:tc>
          <w:tcPr>
            <w:tcW w:w="3315" w:type="dxa"/>
            <w:shd w:val="clear" w:color="auto" w:fill="CCFFFF"/>
          </w:tcPr>
          <w:p w14:paraId="46123309" w14:textId="77777777" w:rsidR="00B139C2" w:rsidRPr="00884993" w:rsidRDefault="00B139C2" w:rsidP="00094335">
            <w:pPr>
              <w:rPr>
                <w:sz w:val="22"/>
                <w:szCs w:val="22"/>
              </w:rPr>
            </w:pPr>
            <w:r w:rsidRPr="00884993">
              <w:rPr>
                <w:sz w:val="22"/>
                <w:szCs w:val="22"/>
              </w:rPr>
              <w:t>NICE Guidance:</w:t>
            </w:r>
          </w:p>
        </w:tc>
        <w:tc>
          <w:tcPr>
            <w:tcW w:w="7274" w:type="dxa"/>
            <w:shd w:val="clear" w:color="auto" w:fill="auto"/>
          </w:tcPr>
          <w:p w14:paraId="30314027" w14:textId="19541363" w:rsidR="00453E87" w:rsidRDefault="00453E87" w:rsidP="00094335">
            <w:pPr>
              <w:rPr>
                <w:color w:val="000000"/>
                <w:kern w:val="24"/>
                <w:sz w:val="22"/>
                <w:szCs w:val="22"/>
                <w:lang w:eastAsia="en-GB"/>
              </w:rPr>
            </w:pPr>
            <w:r>
              <w:rPr>
                <w:color w:val="000000"/>
                <w:kern w:val="24"/>
                <w:sz w:val="22"/>
                <w:szCs w:val="22"/>
                <w:lang w:eastAsia="en-GB"/>
              </w:rPr>
              <w:t xml:space="preserve">RA: </w:t>
            </w:r>
            <w:hyperlink r:id="rId74" w:history="1">
              <w:r w:rsidRPr="004132B1">
                <w:rPr>
                  <w:rStyle w:val="Hyperlink"/>
                  <w:kern w:val="24"/>
                  <w:sz w:val="22"/>
                  <w:szCs w:val="22"/>
                  <w:lang w:eastAsia="en-GB"/>
                </w:rPr>
                <w:t>TA375</w:t>
              </w:r>
            </w:hyperlink>
            <w:r w:rsidR="00586C73">
              <w:rPr>
                <w:rStyle w:val="Hyperlink"/>
                <w:kern w:val="24"/>
                <w:sz w:val="22"/>
                <w:szCs w:val="22"/>
                <w:lang w:eastAsia="en-GB"/>
              </w:rPr>
              <w:t xml:space="preserve"> </w:t>
            </w:r>
            <w:r w:rsidR="00586C73" w:rsidRPr="00586C73">
              <w:rPr>
                <w:rStyle w:val="Hyperlink"/>
                <w:color w:val="auto"/>
                <w:kern w:val="24"/>
                <w:sz w:val="22"/>
                <w:szCs w:val="22"/>
                <w:lang w:eastAsia="en-GB"/>
              </w:rPr>
              <w:t xml:space="preserve">and </w:t>
            </w:r>
            <w:hyperlink r:id="rId75" w:history="1">
              <w:r w:rsidR="00586C73" w:rsidRPr="001C116E">
                <w:rPr>
                  <w:rStyle w:val="Hyperlink"/>
                  <w:kern w:val="24"/>
                  <w:sz w:val="22"/>
                  <w:szCs w:val="22"/>
                  <w:lang w:eastAsia="en-GB"/>
                </w:rPr>
                <w:t>TA195</w:t>
              </w:r>
            </w:hyperlink>
            <w:r w:rsidR="00586C73">
              <w:rPr>
                <w:rStyle w:val="Hyperlink"/>
                <w:kern w:val="24"/>
                <w:sz w:val="22"/>
                <w:szCs w:val="22"/>
                <w:lang w:eastAsia="en-GB"/>
              </w:rPr>
              <w:t xml:space="preserve"> </w:t>
            </w:r>
            <w:r w:rsidR="00586C73">
              <w:rPr>
                <w:rStyle w:val="Hyperlink"/>
                <w:color w:val="auto"/>
                <w:kern w:val="24"/>
                <w:sz w:val="22"/>
                <w:szCs w:val="22"/>
                <w:lang w:eastAsia="en-GB"/>
              </w:rPr>
              <w:t>(after TNF failure if rituximab CI/failed)</w:t>
            </w:r>
          </w:p>
          <w:p w14:paraId="6B7CF6EA" w14:textId="77777777" w:rsidR="00586C73" w:rsidRDefault="00586C73" w:rsidP="00586C73">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PsA: </w:t>
            </w:r>
            <w:hyperlink r:id="rId76" w:history="1">
              <w:r w:rsidRPr="00604B75">
                <w:rPr>
                  <w:rStyle w:val="Hyperlink"/>
                  <w:kern w:val="24"/>
                  <w:sz w:val="22"/>
                  <w:szCs w:val="22"/>
                  <w:lang w:eastAsia="en-GB"/>
                </w:rPr>
                <w:t>TA199</w:t>
              </w:r>
            </w:hyperlink>
          </w:p>
          <w:p w14:paraId="214DDC3A" w14:textId="34196193" w:rsidR="00586C73" w:rsidRDefault="00586C73" w:rsidP="00586C73">
            <w:pPr>
              <w:rPr>
                <w:color w:val="000000"/>
                <w:kern w:val="24"/>
                <w:sz w:val="22"/>
                <w:szCs w:val="22"/>
                <w:lang w:eastAsia="en-GB"/>
              </w:rPr>
            </w:pPr>
            <w:r>
              <w:rPr>
                <w:color w:val="000000"/>
                <w:kern w:val="24"/>
                <w:sz w:val="22"/>
                <w:szCs w:val="22"/>
                <w:lang w:eastAsia="en-GB"/>
              </w:rPr>
              <w:t xml:space="preserve">AS and nrAS: </w:t>
            </w:r>
            <w:hyperlink r:id="rId77" w:history="1">
              <w:r w:rsidRPr="00604B75">
                <w:rPr>
                  <w:rStyle w:val="Hyperlink"/>
                  <w:kern w:val="24"/>
                  <w:sz w:val="22"/>
                  <w:szCs w:val="22"/>
                  <w:lang w:eastAsia="en-GB"/>
                </w:rPr>
                <w:t>TA383</w:t>
              </w:r>
            </w:hyperlink>
          </w:p>
          <w:p w14:paraId="749B3648" w14:textId="7BDE8D27" w:rsidR="00B139C2" w:rsidRPr="00884993" w:rsidRDefault="00B139C2" w:rsidP="00586C73">
            <w:pPr>
              <w:rPr>
                <w:sz w:val="22"/>
                <w:szCs w:val="22"/>
              </w:rPr>
            </w:pPr>
            <w:r w:rsidRPr="00884993">
              <w:rPr>
                <w:sz w:val="22"/>
                <w:szCs w:val="22"/>
              </w:rPr>
              <w:t>JIA</w:t>
            </w:r>
            <w:r w:rsidR="00586C73">
              <w:rPr>
                <w:sz w:val="22"/>
                <w:szCs w:val="22"/>
              </w:rPr>
              <w:t>:</w:t>
            </w:r>
            <w:r w:rsidRPr="00884993">
              <w:rPr>
                <w:sz w:val="22"/>
                <w:szCs w:val="22"/>
              </w:rPr>
              <w:t xml:space="preserve"> </w:t>
            </w:r>
            <w:hyperlink r:id="rId78" w:history="1">
              <w:r w:rsidRPr="00586C73">
                <w:rPr>
                  <w:rStyle w:val="Hyperlink"/>
                  <w:sz w:val="22"/>
                  <w:szCs w:val="22"/>
                </w:rPr>
                <w:t>TA</w:t>
              </w:r>
              <w:r w:rsidR="00586C73" w:rsidRPr="00586C73">
                <w:rPr>
                  <w:rStyle w:val="Hyperlink"/>
                  <w:sz w:val="22"/>
                  <w:szCs w:val="22"/>
                </w:rPr>
                <w:t>373</w:t>
              </w:r>
            </w:hyperlink>
          </w:p>
        </w:tc>
      </w:tr>
      <w:tr w:rsidR="00B139C2" w:rsidRPr="00884993" w14:paraId="133398F0" w14:textId="77777777" w:rsidTr="00094335">
        <w:tc>
          <w:tcPr>
            <w:tcW w:w="3315" w:type="dxa"/>
            <w:shd w:val="clear" w:color="auto" w:fill="CCFFFF"/>
          </w:tcPr>
          <w:p w14:paraId="6823326D" w14:textId="77777777" w:rsidR="00B139C2" w:rsidRPr="00884993" w:rsidRDefault="00B139C2" w:rsidP="00094335">
            <w:pPr>
              <w:rPr>
                <w:sz w:val="22"/>
                <w:szCs w:val="22"/>
              </w:rPr>
            </w:pPr>
            <w:r w:rsidRPr="00884993">
              <w:rPr>
                <w:sz w:val="22"/>
                <w:szCs w:val="22"/>
              </w:rPr>
              <w:t>Warnings/Contra-indications/Significant drug interactions:</w:t>
            </w:r>
          </w:p>
          <w:p w14:paraId="295279E2" w14:textId="77777777" w:rsidR="00B139C2" w:rsidRPr="00884993" w:rsidRDefault="00B139C2" w:rsidP="00094335">
            <w:pPr>
              <w:rPr>
                <w:sz w:val="22"/>
                <w:szCs w:val="22"/>
              </w:rPr>
            </w:pPr>
            <w:r w:rsidRPr="00884993">
              <w:rPr>
                <w:sz w:val="22"/>
                <w:szCs w:val="22"/>
              </w:rPr>
              <w:t>(*Refer to licensed datasheet for special warnings)</w:t>
            </w:r>
          </w:p>
        </w:tc>
        <w:tc>
          <w:tcPr>
            <w:tcW w:w="7274" w:type="dxa"/>
            <w:shd w:val="clear" w:color="auto" w:fill="auto"/>
          </w:tcPr>
          <w:p w14:paraId="5C1AA2D3" w14:textId="77777777" w:rsidR="00B139C2" w:rsidRPr="00884993" w:rsidRDefault="00B139C2" w:rsidP="00094335">
            <w:pPr>
              <w:rPr>
                <w:sz w:val="22"/>
                <w:szCs w:val="22"/>
              </w:rPr>
            </w:pPr>
            <w:r w:rsidRPr="00884993">
              <w:rPr>
                <w:sz w:val="22"/>
                <w:szCs w:val="22"/>
              </w:rPr>
              <w:t xml:space="preserve"> ● Live vaccines must not be given● Hypersensitivity to the active substance or to any of the excipient (needle cover of prefilled syringe contains latex) ● Active tuberculosis** (TB) or other severe infections such as sepsis, and opportunistic infections ● Caution in patients with congestive cardiac failure.</w:t>
            </w:r>
          </w:p>
          <w:p w14:paraId="04E55CAF" w14:textId="77777777" w:rsidR="00B139C2" w:rsidRPr="00884993" w:rsidRDefault="00B139C2" w:rsidP="00094335">
            <w:pPr>
              <w:rPr>
                <w:sz w:val="22"/>
                <w:szCs w:val="22"/>
              </w:rPr>
            </w:pPr>
            <w:r w:rsidRPr="00884993">
              <w:rPr>
                <w:sz w:val="22"/>
                <w:szCs w:val="22"/>
              </w:rPr>
              <w:t xml:space="preserve"> *Patients treated with etanercept should be given the Patient Alert Card.</w:t>
            </w:r>
          </w:p>
          <w:p w14:paraId="6E216BDB" w14:textId="77777777" w:rsidR="00B139C2" w:rsidRPr="00884993" w:rsidRDefault="00B139C2" w:rsidP="00094335">
            <w:pPr>
              <w:rPr>
                <w:sz w:val="22"/>
                <w:szCs w:val="22"/>
              </w:rPr>
            </w:pPr>
            <w:r w:rsidRPr="00884993">
              <w:rPr>
                <w:sz w:val="22"/>
                <w:szCs w:val="22"/>
              </w:rPr>
              <w:t>**May be preferred TNFi where previous TB contact but no active infection.</w:t>
            </w:r>
          </w:p>
        </w:tc>
      </w:tr>
      <w:tr w:rsidR="00B139C2" w:rsidRPr="00884993" w14:paraId="3AD5CD03" w14:textId="77777777" w:rsidTr="00094335">
        <w:tc>
          <w:tcPr>
            <w:tcW w:w="3315" w:type="dxa"/>
            <w:shd w:val="clear" w:color="auto" w:fill="CCFFFF"/>
          </w:tcPr>
          <w:p w14:paraId="592988A7" w14:textId="77777777" w:rsidR="00B139C2" w:rsidRPr="00884993" w:rsidRDefault="00B139C2" w:rsidP="00094335">
            <w:pPr>
              <w:rPr>
                <w:sz w:val="22"/>
                <w:szCs w:val="22"/>
              </w:rPr>
            </w:pPr>
            <w:r w:rsidRPr="00884993">
              <w:rPr>
                <w:sz w:val="22"/>
                <w:szCs w:val="22"/>
              </w:rPr>
              <w:t>Assessment of Response:</w:t>
            </w:r>
          </w:p>
        </w:tc>
        <w:tc>
          <w:tcPr>
            <w:tcW w:w="7274" w:type="dxa"/>
            <w:shd w:val="clear" w:color="auto" w:fill="auto"/>
          </w:tcPr>
          <w:p w14:paraId="296C4D14" w14:textId="77777777" w:rsidR="00B139C2" w:rsidRPr="00884993" w:rsidRDefault="00B139C2" w:rsidP="00094335">
            <w:pPr>
              <w:rPr>
                <w:sz w:val="22"/>
                <w:szCs w:val="22"/>
              </w:rPr>
            </w:pPr>
            <w:r w:rsidRPr="00884993">
              <w:rPr>
                <w:sz w:val="22"/>
                <w:szCs w:val="22"/>
              </w:rPr>
              <w:t>Full assessment of response at weeks 12 and 24, with treatment withdrawal if response is inadequate (reduction in DAS28&lt;1.2 or overall DAS28&gt;3.2). If response to treatment is not maintained, a repeat assessment should occur.</w:t>
            </w:r>
          </w:p>
        </w:tc>
      </w:tr>
      <w:tr w:rsidR="00B139C2" w:rsidRPr="00884993" w14:paraId="754CA387" w14:textId="77777777" w:rsidTr="00094335">
        <w:tc>
          <w:tcPr>
            <w:tcW w:w="3315" w:type="dxa"/>
            <w:shd w:val="clear" w:color="auto" w:fill="CCFFFF"/>
          </w:tcPr>
          <w:p w14:paraId="3726B047" w14:textId="77777777" w:rsidR="00B139C2" w:rsidRPr="00884993" w:rsidRDefault="00B139C2" w:rsidP="00094335">
            <w:pPr>
              <w:rPr>
                <w:sz w:val="22"/>
                <w:szCs w:val="22"/>
              </w:rPr>
            </w:pPr>
            <w:r w:rsidRPr="00884993">
              <w:rPr>
                <w:sz w:val="22"/>
                <w:szCs w:val="22"/>
              </w:rPr>
              <w:t>Baseline Tests:</w:t>
            </w:r>
          </w:p>
        </w:tc>
        <w:tc>
          <w:tcPr>
            <w:tcW w:w="7274" w:type="dxa"/>
            <w:shd w:val="clear" w:color="auto" w:fill="auto"/>
          </w:tcPr>
          <w:p w14:paraId="62455282" w14:textId="77777777" w:rsidR="00B139C2" w:rsidRPr="00884993" w:rsidRDefault="00B139C2" w:rsidP="00B139C2">
            <w:pPr>
              <w:numPr>
                <w:ilvl w:val="0"/>
                <w:numId w:val="16"/>
              </w:numPr>
              <w:overflowPunct/>
              <w:autoSpaceDE/>
              <w:autoSpaceDN/>
              <w:adjustRightInd/>
              <w:textAlignment w:val="auto"/>
              <w:rPr>
                <w:sz w:val="22"/>
                <w:szCs w:val="22"/>
              </w:rPr>
            </w:pPr>
            <w:r w:rsidRPr="00884993">
              <w:rPr>
                <w:sz w:val="22"/>
                <w:szCs w:val="22"/>
              </w:rPr>
              <w:t>Full clinical/infection screen</w:t>
            </w:r>
          </w:p>
          <w:p w14:paraId="187B2058" w14:textId="77777777" w:rsidR="00B139C2" w:rsidRPr="00884993" w:rsidRDefault="00B139C2" w:rsidP="00B139C2">
            <w:pPr>
              <w:numPr>
                <w:ilvl w:val="0"/>
                <w:numId w:val="16"/>
              </w:numPr>
              <w:overflowPunct/>
              <w:autoSpaceDE/>
              <w:autoSpaceDN/>
              <w:adjustRightInd/>
              <w:textAlignment w:val="auto"/>
              <w:rPr>
                <w:sz w:val="22"/>
                <w:szCs w:val="22"/>
              </w:rPr>
            </w:pPr>
            <w:r w:rsidRPr="00884993">
              <w:rPr>
                <w:sz w:val="22"/>
                <w:szCs w:val="22"/>
              </w:rPr>
              <w:t>Urinalysis &amp; BP</w:t>
            </w:r>
          </w:p>
          <w:p w14:paraId="46947EA6" w14:textId="77777777" w:rsidR="00B139C2" w:rsidRPr="00884993" w:rsidRDefault="00B139C2" w:rsidP="00B139C2">
            <w:pPr>
              <w:numPr>
                <w:ilvl w:val="0"/>
                <w:numId w:val="16"/>
              </w:numPr>
              <w:overflowPunct/>
              <w:autoSpaceDE/>
              <w:autoSpaceDN/>
              <w:adjustRightInd/>
              <w:textAlignment w:val="auto"/>
              <w:rPr>
                <w:sz w:val="22"/>
                <w:szCs w:val="22"/>
                <w:lang w:val="sv-SE"/>
              </w:rPr>
            </w:pPr>
            <w:r w:rsidRPr="00884993">
              <w:rPr>
                <w:sz w:val="22"/>
                <w:szCs w:val="22"/>
                <w:lang w:val="sv-SE"/>
              </w:rPr>
              <w:t>FBC/U&amp;E/LFT/ANA/DNA</w:t>
            </w:r>
          </w:p>
          <w:p w14:paraId="49CB865D" w14:textId="77777777" w:rsidR="00B139C2" w:rsidRPr="00884993" w:rsidRDefault="00B139C2" w:rsidP="00B139C2">
            <w:pPr>
              <w:numPr>
                <w:ilvl w:val="0"/>
                <w:numId w:val="16"/>
              </w:numPr>
              <w:overflowPunct/>
              <w:autoSpaceDE/>
              <w:autoSpaceDN/>
              <w:adjustRightInd/>
              <w:textAlignment w:val="auto"/>
              <w:rPr>
                <w:sz w:val="22"/>
                <w:szCs w:val="22"/>
              </w:rPr>
            </w:pPr>
            <w:r w:rsidRPr="00884993">
              <w:rPr>
                <w:sz w:val="22"/>
                <w:szCs w:val="22"/>
              </w:rPr>
              <w:t>CXR (evidence TB/fibrosis)</w:t>
            </w:r>
          </w:p>
          <w:p w14:paraId="1FEE7262" w14:textId="77777777" w:rsidR="00B139C2" w:rsidRPr="00884993" w:rsidRDefault="00B139C2" w:rsidP="00B139C2">
            <w:pPr>
              <w:numPr>
                <w:ilvl w:val="0"/>
                <w:numId w:val="16"/>
              </w:numPr>
              <w:overflowPunct/>
              <w:autoSpaceDE/>
              <w:autoSpaceDN/>
              <w:adjustRightInd/>
              <w:textAlignment w:val="auto"/>
              <w:rPr>
                <w:sz w:val="22"/>
                <w:szCs w:val="22"/>
              </w:rPr>
            </w:pPr>
            <w:r w:rsidRPr="00884993">
              <w:rPr>
                <w:sz w:val="22"/>
                <w:szCs w:val="22"/>
              </w:rPr>
              <w:t>Quantiferon or TB spot (as indicated)</w:t>
            </w:r>
          </w:p>
          <w:p w14:paraId="19A6CFDA" w14:textId="7F9AA753" w:rsidR="00B139C2" w:rsidRPr="00884993" w:rsidRDefault="00B36B4C" w:rsidP="00B139C2">
            <w:pPr>
              <w:numPr>
                <w:ilvl w:val="0"/>
                <w:numId w:val="16"/>
              </w:numPr>
              <w:overflowPunct/>
              <w:autoSpaceDE/>
              <w:autoSpaceDN/>
              <w:adjustRightInd/>
              <w:textAlignment w:val="auto"/>
              <w:rPr>
                <w:sz w:val="22"/>
                <w:szCs w:val="22"/>
              </w:rPr>
            </w:pPr>
            <w:r>
              <w:rPr>
                <w:sz w:val="22"/>
                <w:szCs w:val="22"/>
              </w:rPr>
              <w:t xml:space="preserve">Consider Hepatitis B&amp;C + </w:t>
            </w:r>
            <w:r w:rsidR="00B139C2" w:rsidRPr="00884993">
              <w:rPr>
                <w:sz w:val="22"/>
                <w:szCs w:val="22"/>
              </w:rPr>
              <w:t>HIV</w:t>
            </w:r>
          </w:p>
          <w:p w14:paraId="2F80A527" w14:textId="77777777" w:rsidR="00B139C2" w:rsidRPr="00884993" w:rsidRDefault="00B139C2" w:rsidP="00B139C2">
            <w:pPr>
              <w:numPr>
                <w:ilvl w:val="0"/>
                <w:numId w:val="16"/>
              </w:numPr>
              <w:overflowPunct/>
              <w:autoSpaceDE/>
              <w:autoSpaceDN/>
              <w:adjustRightInd/>
              <w:textAlignment w:val="auto"/>
              <w:rPr>
                <w:sz w:val="22"/>
                <w:szCs w:val="22"/>
              </w:rPr>
            </w:pPr>
            <w:r w:rsidRPr="00884993">
              <w:rPr>
                <w:sz w:val="22"/>
                <w:szCs w:val="22"/>
              </w:rPr>
              <w:t>Pregnancy test if indicated</w:t>
            </w:r>
          </w:p>
        </w:tc>
      </w:tr>
      <w:tr w:rsidR="00B139C2" w:rsidRPr="00884993" w14:paraId="09C50BEF" w14:textId="77777777" w:rsidTr="00094335">
        <w:tc>
          <w:tcPr>
            <w:tcW w:w="3315" w:type="dxa"/>
            <w:shd w:val="clear" w:color="auto" w:fill="CCFFFF"/>
          </w:tcPr>
          <w:p w14:paraId="182A747F" w14:textId="77777777" w:rsidR="00B139C2" w:rsidRPr="00884993" w:rsidRDefault="00B139C2" w:rsidP="00094335">
            <w:pPr>
              <w:rPr>
                <w:sz w:val="22"/>
                <w:szCs w:val="22"/>
              </w:rPr>
            </w:pPr>
            <w:r w:rsidRPr="00884993">
              <w:rPr>
                <w:sz w:val="22"/>
                <w:szCs w:val="22"/>
              </w:rPr>
              <w:t>Routine Monitoring:</w:t>
            </w:r>
          </w:p>
        </w:tc>
        <w:tc>
          <w:tcPr>
            <w:tcW w:w="7274" w:type="dxa"/>
            <w:shd w:val="clear" w:color="auto" w:fill="auto"/>
          </w:tcPr>
          <w:p w14:paraId="2FC3E8C1" w14:textId="385C842F" w:rsidR="00B139C2" w:rsidRPr="00884993" w:rsidRDefault="00B139C2" w:rsidP="0013271F">
            <w:pPr>
              <w:rPr>
                <w:sz w:val="22"/>
                <w:szCs w:val="22"/>
              </w:rPr>
            </w:pPr>
            <w:r w:rsidRPr="00884993">
              <w:rPr>
                <w:sz w:val="22"/>
                <w:szCs w:val="22"/>
              </w:rPr>
              <w:t>Con</w:t>
            </w:r>
            <w:r w:rsidR="0013271F">
              <w:rPr>
                <w:sz w:val="22"/>
                <w:szCs w:val="22"/>
              </w:rPr>
              <w:t>tinue standard DMARD monitoring. I</w:t>
            </w:r>
            <w:r w:rsidRPr="00884993">
              <w:rPr>
                <w:sz w:val="22"/>
                <w:szCs w:val="22"/>
              </w:rPr>
              <w:t>f monotherapy FBC</w:t>
            </w:r>
            <w:r w:rsidR="00B36B4C">
              <w:rPr>
                <w:sz w:val="22"/>
                <w:szCs w:val="22"/>
              </w:rPr>
              <w:t>/LFT at 1, 3 and 6 months then 6</w:t>
            </w:r>
            <w:r w:rsidRPr="00884993">
              <w:rPr>
                <w:sz w:val="22"/>
                <w:szCs w:val="22"/>
              </w:rPr>
              <w:t xml:space="preserve"> monthly </w:t>
            </w:r>
          </w:p>
        </w:tc>
      </w:tr>
      <w:tr w:rsidR="00B139C2" w:rsidRPr="00884993" w14:paraId="7506E291" w14:textId="77777777" w:rsidTr="00094335">
        <w:tc>
          <w:tcPr>
            <w:tcW w:w="3315" w:type="dxa"/>
            <w:shd w:val="clear" w:color="auto" w:fill="CCFFFF"/>
          </w:tcPr>
          <w:p w14:paraId="67677ECD" w14:textId="77777777" w:rsidR="00B139C2" w:rsidRPr="00884993" w:rsidRDefault="00B139C2" w:rsidP="00094335">
            <w:pPr>
              <w:rPr>
                <w:sz w:val="22"/>
                <w:szCs w:val="22"/>
              </w:rPr>
            </w:pPr>
            <w:r w:rsidRPr="00884993">
              <w:rPr>
                <w:sz w:val="22"/>
                <w:szCs w:val="22"/>
              </w:rPr>
              <w:t>Indications for Stopping Therapy:</w:t>
            </w:r>
          </w:p>
        </w:tc>
        <w:tc>
          <w:tcPr>
            <w:tcW w:w="7274" w:type="dxa"/>
            <w:shd w:val="clear" w:color="auto" w:fill="auto"/>
          </w:tcPr>
          <w:p w14:paraId="08787A68" w14:textId="77777777" w:rsidR="00B139C2" w:rsidRPr="00884993" w:rsidRDefault="00B139C2" w:rsidP="00094335">
            <w:pPr>
              <w:rPr>
                <w:sz w:val="22"/>
                <w:szCs w:val="22"/>
              </w:rPr>
            </w:pPr>
            <w:r w:rsidRPr="00884993">
              <w:rPr>
                <w:b/>
                <w:sz w:val="22"/>
                <w:szCs w:val="22"/>
              </w:rPr>
              <w:t>Stop if:</w:t>
            </w:r>
            <w:r w:rsidRPr="00884993">
              <w:rPr>
                <w:sz w:val="22"/>
                <w:szCs w:val="22"/>
              </w:rPr>
              <w:t xml:space="preserve"> </w:t>
            </w:r>
          </w:p>
          <w:p w14:paraId="10FCABE5" w14:textId="77777777" w:rsidR="00B139C2" w:rsidRPr="00884993" w:rsidRDefault="00B139C2" w:rsidP="00094335">
            <w:pPr>
              <w:rPr>
                <w:sz w:val="22"/>
                <w:szCs w:val="22"/>
              </w:rPr>
            </w:pPr>
            <w:r w:rsidRPr="00884993">
              <w:rPr>
                <w:sz w:val="22"/>
                <w:szCs w:val="22"/>
              </w:rPr>
              <w:t xml:space="preserve">●Evidence of infection </w:t>
            </w:r>
          </w:p>
          <w:p w14:paraId="485B27F0" w14:textId="77777777" w:rsidR="00B139C2" w:rsidRPr="00884993" w:rsidRDefault="00B139C2" w:rsidP="00094335">
            <w:pPr>
              <w:rPr>
                <w:sz w:val="22"/>
                <w:szCs w:val="22"/>
              </w:rPr>
            </w:pPr>
            <w:r w:rsidRPr="00884993">
              <w:rPr>
                <w:sz w:val="22"/>
                <w:szCs w:val="22"/>
              </w:rPr>
              <w:t xml:space="preserve">●Possible demyelination </w:t>
            </w:r>
          </w:p>
          <w:p w14:paraId="6C18016B" w14:textId="77777777" w:rsidR="00B139C2" w:rsidRPr="00884993" w:rsidRDefault="00B139C2" w:rsidP="00094335">
            <w:pPr>
              <w:rPr>
                <w:sz w:val="22"/>
                <w:szCs w:val="22"/>
              </w:rPr>
            </w:pPr>
            <w:r w:rsidRPr="00884993">
              <w:rPr>
                <w:sz w:val="22"/>
                <w:szCs w:val="22"/>
              </w:rPr>
              <w:t xml:space="preserve">●SLE or other autoimmune syndrome </w:t>
            </w:r>
          </w:p>
          <w:p w14:paraId="6FFB60E7" w14:textId="77777777" w:rsidR="00B139C2" w:rsidRPr="00884993" w:rsidRDefault="00B139C2" w:rsidP="00094335">
            <w:pPr>
              <w:rPr>
                <w:sz w:val="22"/>
                <w:szCs w:val="22"/>
              </w:rPr>
            </w:pPr>
            <w:r w:rsidRPr="00884993">
              <w:rPr>
                <w:sz w:val="22"/>
                <w:szCs w:val="22"/>
              </w:rPr>
              <w:t>●Severe injection site reaction (If minor reaction try oral anti-histamine or topical corticosteroids)</w:t>
            </w:r>
          </w:p>
          <w:p w14:paraId="19C161A6" w14:textId="77777777" w:rsidR="00B139C2" w:rsidRPr="00884993" w:rsidRDefault="00B139C2" w:rsidP="00094335">
            <w:pPr>
              <w:rPr>
                <w:sz w:val="22"/>
                <w:szCs w:val="22"/>
              </w:rPr>
            </w:pPr>
            <w:r w:rsidRPr="00884993">
              <w:rPr>
                <w:sz w:val="22"/>
                <w:szCs w:val="22"/>
              </w:rPr>
              <w:t>WCC           &lt;3.5 10</w:t>
            </w:r>
            <w:r w:rsidRPr="00884993">
              <w:rPr>
                <w:sz w:val="22"/>
                <w:szCs w:val="22"/>
                <w:vertAlign w:val="superscript"/>
              </w:rPr>
              <w:t>9/</w:t>
            </w:r>
            <w:r w:rsidRPr="00884993">
              <w:rPr>
                <w:sz w:val="22"/>
                <w:szCs w:val="22"/>
              </w:rPr>
              <w:t>L or below local normal range</w:t>
            </w:r>
          </w:p>
          <w:p w14:paraId="2ACBEE27" w14:textId="77777777" w:rsidR="00B139C2" w:rsidRPr="00884993" w:rsidRDefault="00B139C2" w:rsidP="00094335">
            <w:pPr>
              <w:rPr>
                <w:sz w:val="22"/>
                <w:szCs w:val="22"/>
              </w:rPr>
            </w:pPr>
            <w:r w:rsidRPr="00884993">
              <w:rPr>
                <w:sz w:val="22"/>
                <w:szCs w:val="22"/>
              </w:rPr>
              <w:t>Neutrophils &lt; 2.0 10</w:t>
            </w:r>
            <w:r w:rsidRPr="00884993">
              <w:rPr>
                <w:sz w:val="22"/>
                <w:szCs w:val="22"/>
                <w:vertAlign w:val="superscript"/>
              </w:rPr>
              <w:t>9/</w:t>
            </w:r>
            <w:r w:rsidRPr="00884993">
              <w:rPr>
                <w:sz w:val="22"/>
                <w:szCs w:val="22"/>
              </w:rPr>
              <w:t>L or below local normal range</w:t>
            </w:r>
          </w:p>
          <w:p w14:paraId="6C7C27A1" w14:textId="77777777" w:rsidR="00B139C2" w:rsidRPr="00884993" w:rsidRDefault="00B139C2" w:rsidP="00094335">
            <w:pPr>
              <w:rPr>
                <w:sz w:val="22"/>
                <w:szCs w:val="22"/>
              </w:rPr>
            </w:pPr>
            <w:r w:rsidRPr="00884993">
              <w:rPr>
                <w:sz w:val="22"/>
                <w:szCs w:val="22"/>
              </w:rPr>
              <w:t>Platelets      &lt;150 10</w:t>
            </w:r>
            <w:r w:rsidRPr="00884993">
              <w:rPr>
                <w:sz w:val="22"/>
                <w:szCs w:val="22"/>
                <w:vertAlign w:val="superscript"/>
              </w:rPr>
              <w:t>9/</w:t>
            </w:r>
            <w:r w:rsidRPr="00884993">
              <w:rPr>
                <w:sz w:val="22"/>
                <w:szCs w:val="22"/>
              </w:rPr>
              <w:t>L or below local normal range</w:t>
            </w:r>
          </w:p>
          <w:p w14:paraId="7209470B" w14:textId="77777777" w:rsidR="00B139C2" w:rsidRPr="00884993" w:rsidRDefault="00B139C2" w:rsidP="00094335">
            <w:pPr>
              <w:rPr>
                <w:sz w:val="22"/>
                <w:szCs w:val="22"/>
              </w:rPr>
            </w:pPr>
            <w:r w:rsidRPr="00884993">
              <w:rPr>
                <w:sz w:val="22"/>
                <w:szCs w:val="22"/>
              </w:rPr>
              <w:t>AST or ALT &gt; 3 times normal range (iu/L)</w:t>
            </w:r>
          </w:p>
          <w:p w14:paraId="68F75F10" w14:textId="77777777" w:rsidR="00B139C2" w:rsidRPr="00884993" w:rsidRDefault="00B139C2" w:rsidP="00094335">
            <w:pPr>
              <w:rPr>
                <w:sz w:val="22"/>
                <w:szCs w:val="22"/>
              </w:rPr>
            </w:pPr>
            <w:r w:rsidRPr="00884993">
              <w:rPr>
                <w:b/>
                <w:sz w:val="22"/>
                <w:szCs w:val="22"/>
              </w:rPr>
              <w:t>CONTACT THE RHEUMATOLOGY SERVICE</w:t>
            </w:r>
          </w:p>
        </w:tc>
      </w:tr>
      <w:tr w:rsidR="00B139C2" w:rsidRPr="00884993" w14:paraId="3B30CD3B" w14:textId="77777777" w:rsidTr="00094335">
        <w:tc>
          <w:tcPr>
            <w:tcW w:w="10589" w:type="dxa"/>
            <w:gridSpan w:val="2"/>
            <w:tcBorders>
              <w:bottom w:val="single" w:sz="4" w:space="0" w:color="auto"/>
            </w:tcBorders>
            <w:shd w:val="clear" w:color="auto" w:fill="auto"/>
          </w:tcPr>
          <w:p w14:paraId="242EDB40" w14:textId="77777777" w:rsidR="00B139C2" w:rsidRPr="00884993" w:rsidRDefault="00B139C2" w:rsidP="00094335">
            <w:pPr>
              <w:rPr>
                <w:sz w:val="22"/>
                <w:szCs w:val="22"/>
              </w:rPr>
            </w:pPr>
            <w:r w:rsidRPr="00884993">
              <w:rPr>
                <w:sz w:val="22"/>
                <w:szCs w:val="22"/>
              </w:rPr>
              <w:t xml:space="preserve">Please refer to licensed datasheet for more comprehensive prescribing information: </w:t>
            </w:r>
          </w:p>
          <w:p w14:paraId="349DE26B" w14:textId="77777777" w:rsidR="00B139C2" w:rsidRPr="00884993" w:rsidRDefault="00323D19" w:rsidP="00094335">
            <w:pPr>
              <w:rPr>
                <w:sz w:val="22"/>
                <w:szCs w:val="22"/>
              </w:rPr>
            </w:pPr>
            <w:hyperlink r:id="rId79" w:history="1">
              <w:r w:rsidR="00B139C2" w:rsidRPr="00884993">
                <w:rPr>
                  <w:rStyle w:val="Hyperlink"/>
                  <w:sz w:val="22"/>
                  <w:szCs w:val="22"/>
                </w:rPr>
                <w:t>http://www.medicines.org.uk/EMC/medicine/19162/SPC/Enbrel+50mg+solution+for+injection+in+pre-filled+syringe/</w:t>
              </w:r>
            </w:hyperlink>
          </w:p>
          <w:p w14:paraId="2803F73E" w14:textId="77777777" w:rsidR="00B139C2" w:rsidRPr="00884993" w:rsidRDefault="00B139C2" w:rsidP="00094335">
            <w:pPr>
              <w:rPr>
                <w:sz w:val="22"/>
                <w:szCs w:val="22"/>
              </w:rPr>
            </w:pPr>
          </w:p>
        </w:tc>
      </w:tr>
    </w:tbl>
    <w:p w14:paraId="57AF20E4" w14:textId="7DB71576" w:rsidR="00B36B4C" w:rsidRDefault="00B36B4C" w:rsidP="00B36B4C">
      <w:pPr>
        <w:rPr>
          <w:rFonts w:eastAsiaTheme="majorEastAsia" w:cstheme="majorBidi"/>
          <w:b/>
          <w:sz w:val="26"/>
          <w:szCs w:val="26"/>
        </w:rPr>
      </w:pPr>
    </w:p>
    <w:p w14:paraId="73BF5C34" w14:textId="77777777" w:rsidR="00B36B4C" w:rsidRDefault="00B36B4C">
      <w:pPr>
        <w:overflowPunct/>
        <w:autoSpaceDE/>
        <w:autoSpaceDN/>
        <w:adjustRightInd/>
        <w:spacing w:after="160" w:line="259" w:lineRule="auto"/>
        <w:textAlignment w:val="auto"/>
        <w:rPr>
          <w:rFonts w:eastAsiaTheme="majorEastAsia" w:cstheme="majorBidi"/>
          <w:b/>
          <w:sz w:val="26"/>
          <w:szCs w:val="26"/>
        </w:rPr>
      </w:pPr>
      <w:r>
        <w:rPr>
          <w:rFonts w:eastAsiaTheme="majorEastAsia" w:cstheme="majorBidi"/>
          <w:b/>
          <w:sz w:val="26"/>
          <w:szCs w:val="26"/>
        </w:rPr>
        <w:br w:type="page"/>
      </w:r>
    </w:p>
    <w:p w14:paraId="1D925814" w14:textId="611AAEC2" w:rsidR="008A4BD0" w:rsidRDefault="00CF234C" w:rsidP="00B139C2">
      <w:pPr>
        <w:pStyle w:val="Heading2"/>
        <w:rPr>
          <w:rFonts w:eastAsia="Arial Unicode MS"/>
        </w:rPr>
      </w:pPr>
      <w:bookmarkStart w:id="27" w:name="_Toc531873939"/>
      <w:r w:rsidRPr="006140D1">
        <w:lastRenderedPageBreak/>
        <w:t>Golimumab (Simponi</w:t>
      </w:r>
      <w:r w:rsidRPr="006140D1">
        <w:rPr>
          <w:rFonts w:cs="Arial"/>
        </w:rPr>
        <w:t>®</w:t>
      </w:r>
      <w:r w:rsidRPr="006140D1">
        <w:t>)</w:t>
      </w:r>
      <w:bookmarkEnd w:id="27"/>
      <w:r w:rsidRPr="006140D1">
        <w:t xml:space="preserve"> </w:t>
      </w:r>
    </w:p>
    <w:tbl>
      <w:tblPr>
        <w:tblW w:w="1058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7274"/>
      </w:tblGrid>
      <w:tr w:rsidR="00B139C2" w:rsidRPr="00884993" w14:paraId="4E2734C5" w14:textId="77777777" w:rsidTr="00094335">
        <w:tc>
          <w:tcPr>
            <w:tcW w:w="3315" w:type="dxa"/>
            <w:shd w:val="clear" w:color="auto" w:fill="CCFFFF"/>
          </w:tcPr>
          <w:p w14:paraId="4ED295DC" w14:textId="77777777" w:rsidR="00B139C2" w:rsidRPr="00884993" w:rsidRDefault="00B139C2" w:rsidP="00094335">
            <w:pPr>
              <w:rPr>
                <w:sz w:val="22"/>
                <w:szCs w:val="22"/>
              </w:rPr>
            </w:pPr>
            <w:r w:rsidRPr="00884993">
              <w:rPr>
                <w:sz w:val="22"/>
                <w:szCs w:val="22"/>
              </w:rPr>
              <w:t>Therapeutic Class:</w:t>
            </w:r>
          </w:p>
        </w:tc>
        <w:tc>
          <w:tcPr>
            <w:tcW w:w="7274" w:type="dxa"/>
            <w:shd w:val="clear" w:color="auto" w:fill="auto"/>
          </w:tcPr>
          <w:p w14:paraId="7FCBF29C" w14:textId="77777777" w:rsidR="00B139C2" w:rsidRPr="00884993" w:rsidRDefault="00B139C2" w:rsidP="00094335">
            <w:pPr>
              <w:rPr>
                <w:sz w:val="22"/>
                <w:szCs w:val="22"/>
              </w:rPr>
            </w:pPr>
            <w:r w:rsidRPr="00884993">
              <w:rPr>
                <w:sz w:val="22"/>
                <w:szCs w:val="22"/>
              </w:rPr>
              <w:t>Biologic - TNF  Inhibitor (Human monoclonal antibody)</w:t>
            </w:r>
          </w:p>
        </w:tc>
      </w:tr>
      <w:tr w:rsidR="00B139C2" w:rsidRPr="00884993" w14:paraId="79204628" w14:textId="77777777" w:rsidTr="00094335">
        <w:tc>
          <w:tcPr>
            <w:tcW w:w="3315" w:type="dxa"/>
            <w:shd w:val="clear" w:color="auto" w:fill="CCFFFF"/>
          </w:tcPr>
          <w:p w14:paraId="51204B32" w14:textId="77777777" w:rsidR="00B139C2" w:rsidRPr="00884993" w:rsidRDefault="00B139C2" w:rsidP="00094335">
            <w:pPr>
              <w:rPr>
                <w:sz w:val="22"/>
                <w:szCs w:val="22"/>
              </w:rPr>
            </w:pPr>
            <w:r w:rsidRPr="00884993">
              <w:rPr>
                <w:sz w:val="22"/>
                <w:szCs w:val="22"/>
              </w:rPr>
              <w:t>Licensed Indications:</w:t>
            </w:r>
          </w:p>
        </w:tc>
        <w:tc>
          <w:tcPr>
            <w:tcW w:w="7274" w:type="dxa"/>
            <w:shd w:val="clear" w:color="auto" w:fill="auto"/>
          </w:tcPr>
          <w:p w14:paraId="5EF1B100" w14:textId="77777777" w:rsidR="00B139C2" w:rsidRPr="00884993" w:rsidRDefault="00B139C2" w:rsidP="00094335">
            <w:pPr>
              <w:rPr>
                <w:sz w:val="22"/>
                <w:szCs w:val="22"/>
              </w:rPr>
            </w:pPr>
            <w:r w:rsidRPr="00884993">
              <w:rPr>
                <w:sz w:val="22"/>
                <w:szCs w:val="22"/>
              </w:rPr>
              <w:t>RA (in combination with methotrexate), PsA &amp; AS</w:t>
            </w:r>
          </w:p>
        </w:tc>
      </w:tr>
      <w:tr w:rsidR="00B139C2" w:rsidRPr="00884993" w14:paraId="50C10CF0" w14:textId="77777777" w:rsidTr="00094335">
        <w:tc>
          <w:tcPr>
            <w:tcW w:w="3315" w:type="dxa"/>
            <w:shd w:val="clear" w:color="auto" w:fill="CCFFFF"/>
          </w:tcPr>
          <w:p w14:paraId="663061B8" w14:textId="77777777" w:rsidR="00B139C2" w:rsidRPr="00884993" w:rsidRDefault="00B139C2" w:rsidP="00094335">
            <w:pPr>
              <w:rPr>
                <w:sz w:val="22"/>
                <w:szCs w:val="22"/>
              </w:rPr>
            </w:pPr>
            <w:r w:rsidRPr="00884993">
              <w:rPr>
                <w:sz w:val="22"/>
                <w:szCs w:val="22"/>
              </w:rPr>
              <w:t>Licensed Dose:</w:t>
            </w:r>
          </w:p>
        </w:tc>
        <w:tc>
          <w:tcPr>
            <w:tcW w:w="7274" w:type="dxa"/>
            <w:shd w:val="clear" w:color="auto" w:fill="auto"/>
          </w:tcPr>
          <w:p w14:paraId="6921ACFA" w14:textId="77777777" w:rsidR="00B139C2" w:rsidRPr="00884993" w:rsidRDefault="00B139C2" w:rsidP="00094335">
            <w:pPr>
              <w:rPr>
                <w:sz w:val="22"/>
                <w:szCs w:val="22"/>
                <w:u w:val="single"/>
              </w:rPr>
            </w:pPr>
            <w:r w:rsidRPr="00884993">
              <w:rPr>
                <w:sz w:val="22"/>
                <w:szCs w:val="22"/>
              </w:rPr>
              <w:t>RA, PsA &amp; AS - 50 mg given once a month by sc injection, on the same date each month.</w:t>
            </w:r>
          </w:p>
          <w:p w14:paraId="4BF5EA8E" w14:textId="68326DD7" w:rsidR="00B139C2" w:rsidRPr="00884993" w:rsidRDefault="00B139C2" w:rsidP="00094335">
            <w:pPr>
              <w:rPr>
                <w:sz w:val="22"/>
                <w:szCs w:val="22"/>
              </w:rPr>
            </w:pPr>
            <w:r w:rsidRPr="00884993">
              <w:rPr>
                <w:sz w:val="22"/>
                <w:szCs w:val="22"/>
                <w:u w:val="single"/>
              </w:rPr>
              <w:t>Increased dose:</w:t>
            </w:r>
            <w:r w:rsidR="0013271F">
              <w:rPr>
                <w:sz w:val="22"/>
                <w:szCs w:val="22"/>
              </w:rPr>
              <w:t xml:space="preserve"> P</w:t>
            </w:r>
            <w:r w:rsidRPr="00884993">
              <w:rPr>
                <w:sz w:val="22"/>
                <w:szCs w:val="22"/>
              </w:rPr>
              <w:t>atients weighing more than 100 kg who do not achieve an adequate clinical response after 3 or 4 doses of 50mg, should have their dose increased to 100 mg once a month. Continued therapy should be reconsidered in patients who show no evidence of therapeutic benefit after receiving 3 to 4 additional doses of 100 mg.</w:t>
            </w:r>
          </w:p>
          <w:p w14:paraId="34342D77" w14:textId="77777777" w:rsidR="00B139C2" w:rsidRPr="00884993" w:rsidRDefault="00B139C2" w:rsidP="00094335">
            <w:pPr>
              <w:rPr>
                <w:sz w:val="22"/>
                <w:szCs w:val="22"/>
              </w:rPr>
            </w:pPr>
            <w:r w:rsidRPr="00884993">
              <w:rPr>
                <w:sz w:val="22"/>
                <w:szCs w:val="22"/>
                <w:u w:val="single"/>
              </w:rPr>
              <w:t>Missed dose</w:t>
            </w:r>
            <w:r w:rsidRPr="00884993">
              <w:rPr>
                <w:sz w:val="22"/>
                <w:szCs w:val="22"/>
              </w:rPr>
              <w:t>: if the dose is less than 2 weeks late, the patient should inject his/her forgotten dose and stay on his/her original monthly schedule. If the delay is more than 2 weeks a new monthly schedule should be established.</w:t>
            </w:r>
          </w:p>
        </w:tc>
      </w:tr>
      <w:tr w:rsidR="00B139C2" w:rsidRPr="00884993" w14:paraId="0D76D123" w14:textId="77777777" w:rsidTr="00094335">
        <w:tc>
          <w:tcPr>
            <w:tcW w:w="3315" w:type="dxa"/>
            <w:shd w:val="clear" w:color="auto" w:fill="CCFFFF"/>
          </w:tcPr>
          <w:p w14:paraId="191A43CF" w14:textId="77777777" w:rsidR="00B139C2" w:rsidRPr="00884993" w:rsidRDefault="00B139C2" w:rsidP="00094335">
            <w:pPr>
              <w:rPr>
                <w:sz w:val="22"/>
                <w:szCs w:val="22"/>
              </w:rPr>
            </w:pPr>
            <w:r w:rsidRPr="00884993">
              <w:rPr>
                <w:sz w:val="22"/>
                <w:szCs w:val="22"/>
              </w:rPr>
              <w:t>Licensed preparation:</w:t>
            </w:r>
          </w:p>
        </w:tc>
        <w:tc>
          <w:tcPr>
            <w:tcW w:w="7274" w:type="dxa"/>
            <w:shd w:val="clear" w:color="auto" w:fill="auto"/>
          </w:tcPr>
          <w:p w14:paraId="1FA80FE7" w14:textId="77777777" w:rsidR="00B139C2" w:rsidRPr="00884993" w:rsidRDefault="00B139C2" w:rsidP="00094335">
            <w:pPr>
              <w:rPr>
                <w:sz w:val="22"/>
                <w:szCs w:val="22"/>
                <w:lang w:val="it-IT"/>
              </w:rPr>
            </w:pPr>
            <w:r w:rsidRPr="00884993">
              <w:rPr>
                <w:sz w:val="22"/>
                <w:szCs w:val="22"/>
                <w:lang w:val="it-IT"/>
              </w:rPr>
              <w:t>Prefilled pen and prefilled syringe in 50mg and 100mg strength</w:t>
            </w:r>
          </w:p>
        </w:tc>
      </w:tr>
      <w:tr w:rsidR="00B139C2" w:rsidRPr="00884993" w14:paraId="3C3EE05E" w14:textId="77777777" w:rsidTr="00094335">
        <w:tc>
          <w:tcPr>
            <w:tcW w:w="3315" w:type="dxa"/>
            <w:shd w:val="clear" w:color="auto" w:fill="CCFFFF"/>
          </w:tcPr>
          <w:p w14:paraId="2241D261" w14:textId="77777777" w:rsidR="00B139C2" w:rsidRPr="00884993" w:rsidRDefault="00B139C2" w:rsidP="00094335">
            <w:pPr>
              <w:rPr>
                <w:sz w:val="22"/>
                <w:szCs w:val="22"/>
              </w:rPr>
            </w:pPr>
            <w:r w:rsidRPr="00884993">
              <w:rPr>
                <w:sz w:val="22"/>
                <w:szCs w:val="22"/>
              </w:rPr>
              <w:t>NICE Guidance:</w:t>
            </w:r>
          </w:p>
        </w:tc>
        <w:tc>
          <w:tcPr>
            <w:tcW w:w="7274" w:type="dxa"/>
            <w:shd w:val="clear" w:color="auto" w:fill="auto"/>
          </w:tcPr>
          <w:p w14:paraId="29698EB7" w14:textId="0D6ECF4E" w:rsidR="000E420A" w:rsidRDefault="000E420A" w:rsidP="000E420A">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RA: </w:t>
            </w:r>
            <w:hyperlink r:id="rId80" w:history="1">
              <w:r w:rsidRPr="004132B1">
                <w:rPr>
                  <w:rStyle w:val="Hyperlink"/>
                  <w:kern w:val="24"/>
                  <w:sz w:val="22"/>
                  <w:szCs w:val="22"/>
                  <w:lang w:eastAsia="en-GB"/>
                </w:rPr>
                <w:t>TA375</w:t>
              </w:r>
            </w:hyperlink>
            <w:r>
              <w:rPr>
                <w:rStyle w:val="Hyperlink"/>
                <w:kern w:val="24"/>
                <w:sz w:val="22"/>
                <w:szCs w:val="22"/>
                <w:lang w:eastAsia="en-GB"/>
              </w:rPr>
              <w:t xml:space="preserve">; </w:t>
            </w:r>
            <w:hyperlink r:id="rId81" w:history="1">
              <w:r w:rsidRPr="001C116E">
                <w:rPr>
                  <w:rStyle w:val="Hyperlink"/>
                  <w:kern w:val="24"/>
                  <w:sz w:val="22"/>
                  <w:szCs w:val="22"/>
                  <w:lang w:eastAsia="en-GB"/>
                </w:rPr>
                <w:t>TA225</w:t>
              </w:r>
            </w:hyperlink>
            <w:r>
              <w:rPr>
                <w:rStyle w:val="Hyperlink"/>
                <w:kern w:val="24"/>
                <w:sz w:val="22"/>
                <w:szCs w:val="22"/>
                <w:lang w:eastAsia="en-GB"/>
              </w:rPr>
              <w:t xml:space="preserve"> </w:t>
            </w:r>
            <w:r>
              <w:rPr>
                <w:rStyle w:val="Hyperlink"/>
                <w:color w:val="auto"/>
                <w:kern w:val="24"/>
                <w:sz w:val="22"/>
                <w:szCs w:val="22"/>
                <w:lang w:eastAsia="en-GB"/>
              </w:rPr>
              <w:t>(after TNF failure if rituximab CI/failed)</w:t>
            </w:r>
          </w:p>
          <w:p w14:paraId="5194C2EB" w14:textId="77777777" w:rsidR="000E420A" w:rsidRDefault="000E420A" w:rsidP="000E420A">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PsA: </w:t>
            </w:r>
            <w:hyperlink r:id="rId82" w:history="1">
              <w:r>
                <w:rPr>
                  <w:rStyle w:val="Hyperlink"/>
                  <w:kern w:val="24"/>
                  <w:sz w:val="22"/>
                  <w:szCs w:val="22"/>
                  <w:lang w:eastAsia="en-GB"/>
                </w:rPr>
                <w:t>TA220</w:t>
              </w:r>
            </w:hyperlink>
          </w:p>
          <w:p w14:paraId="5306934D" w14:textId="77777777" w:rsidR="000E420A" w:rsidRDefault="000E420A" w:rsidP="000E420A">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AS: </w:t>
            </w:r>
            <w:hyperlink r:id="rId83" w:history="1">
              <w:r w:rsidRPr="00604B75">
                <w:rPr>
                  <w:rStyle w:val="Hyperlink"/>
                  <w:kern w:val="24"/>
                  <w:sz w:val="22"/>
                  <w:szCs w:val="22"/>
                  <w:lang w:eastAsia="en-GB"/>
                </w:rPr>
                <w:t>TA383</w:t>
              </w:r>
            </w:hyperlink>
          </w:p>
          <w:p w14:paraId="4218609B" w14:textId="3E4DDA52" w:rsidR="00B139C2" w:rsidRPr="00884993" w:rsidRDefault="000E420A" w:rsidP="000E420A">
            <w:pPr>
              <w:rPr>
                <w:sz w:val="22"/>
                <w:szCs w:val="22"/>
              </w:rPr>
            </w:pPr>
            <w:r>
              <w:rPr>
                <w:color w:val="000000"/>
                <w:kern w:val="24"/>
                <w:sz w:val="22"/>
                <w:szCs w:val="22"/>
                <w:lang w:eastAsia="en-GB"/>
              </w:rPr>
              <w:t xml:space="preserve">nrAS: </w:t>
            </w:r>
            <w:hyperlink r:id="rId84" w:history="1">
              <w:r w:rsidRPr="00B014CA">
                <w:rPr>
                  <w:rStyle w:val="Hyperlink"/>
                  <w:kern w:val="24"/>
                  <w:sz w:val="22"/>
                  <w:szCs w:val="22"/>
                  <w:lang w:eastAsia="en-GB"/>
                </w:rPr>
                <w:t>TA497</w:t>
              </w:r>
            </w:hyperlink>
          </w:p>
        </w:tc>
      </w:tr>
      <w:tr w:rsidR="00B139C2" w:rsidRPr="00884993" w14:paraId="75D6D24E" w14:textId="77777777" w:rsidTr="00094335">
        <w:tc>
          <w:tcPr>
            <w:tcW w:w="3315" w:type="dxa"/>
            <w:shd w:val="clear" w:color="auto" w:fill="CCFFFF"/>
          </w:tcPr>
          <w:p w14:paraId="5332499E" w14:textId="77777777" w:rsidR="00B139C2" w:rsidRPr="00884993" w:rsidRDefault="00B139C2" w:rsidP="00094335">
            <w:pPr>
              <w:rPr>
                <w:sz w:val="22"/>
                <w:szCs w:val="22"/>
              </w:rPr>
            </w:pPr>
            <w:r w:rsidRPr="00884993">
              <w:rPr>
                <w:sz w:val="22"/>
                <w:szCs w:val="22"/>
              </w:rPr>
              <w:t>Warnings/Contra-indications/Significant drug interactions:</w:t>
            </w:r>
          </w:p>
          <w:p w14:paraId="4B3F1993" w14:textId="77777777" w:rsidR="00B139C2" w:rsidRPr="00884993" w:rsidRDefault="00B139C2" w:rsidP="00094335">
            <w:pPr>
              <w:rPr>
                <w:sz w:val="22"/>
                <w:szCs w:val="22"/>
              </w:rPr>
            </w:pPr>
            <w:r w:rsidRPr="00884993">
              <w:rPr>
                <w:sz w:val="22"/>
                <w:szCs w:val="22"/>
              </w:rPr>
              <w:t>(*Refer to licensed datasheet for special warnings)</w:t>
            </w:r>
          </w:p>
        </w:tc>
        <w:tc>
          <w:tcPr>
            <w:tcW w:w="7274" w:type="dxa"/>
            <w:shd w:val="clear" w:color="auto" w:fill="auto"/>
          </w:tcPr>
          <w:p w14:paraId="4EC4FAD0" w14:textId="77777777" w:rsidR="00B139C2" w:rsidRPr="00884993" w:rsidRDefault="00B139C2" w:rsidP="00094335">
            <w:pPr>
              <w:rPr>
                <w:sz w:val="22"/>
                <w:szCs w:val="22"/>
              </w:rPr>
            </w:pPr>
            <w:r w:rsidRPr="00884993">
              <w:rPr>
                <w:sz w:val="22"/>
                <w:szCs w:val="22"/>
              </w:rPr>
              <w:t xml:space="preserve"> ● Live vaccines must not be given● Hypersensitivity to the active substance or to any of the excipients - including latex sensitivity (golimumab pen) ● Active tuberculosis (TB) or other severe infections such as sepsis, and opportunistic infections ● Moderate or severe heart failure (NYHA class III/IV) ● Contains Sorbitol - not in hereditary problems with fructose intolerance.</w:t>
            </w:r>
          </w:p>
        </w:tc>
      </w:tr>
      <w:tr w:rsidR="00B139C2" w:rsidRPr="00884993" w14:paraId="1BF58ADC" w14:textId="77777777" w:rsidTr="00094335">
        <w:tc>
          <w:tcPr>
            <w:tcW w:w="3315" w:type="dxa"/>
            <w:shd w:val="clear" w:color="auto" w:fill="CCFFFF"/>
          </w:tcPr>
          <w:p w14:paraId="1271A2CA" w14:textId="77777777" w:rsidR="00B139C2" w:rsidRPr="00884993" w:rsidRDefault="00B139C2" w:rsidP="00094335">
            <w:pPr>
              <w:rPr>
                <w:sz w:val="22"/>
                <w:szCs w:val="22"/>
              </w:rPr>
            </w:pPr>
            <w:r w:rsidRPr="00884993">
              <w:rPr>
                <w:sz w:val="22"/>
                <w:szCs w:val="22"/>
              </w:rPr>
              <w:t>Assessment of Response:</w:t>
            </w:r>
          </w:p>
        </w:tc>
        <w:tc>
          <w:tcPr>
            <w:tcW w:w="7274" w:type="dxa"/>
            <w:shd w:val="clear" w:color="auto" w:fill="auto"/>
          </w:tcPr>
          <w:p w14:paraId="2C7EEA76" w14:textId="77777777" w:rsidR="00B139C2" w:rsidRPr="00884993" w:rsidRDefault="00B139C2" w:rsidP="00094335">
            <w:pPr>
              <w:rPr>
                <w:sz w:val="22"/>
                <w:szCs w:val="22"/>
              </w:rPr>
            </w:pPr>
            <w:r w:rsidRPr="00884993">
              <w:rPr>
                <w:sz w:val="22"/>
                <w:szCs w:val="22"/>
              </w:rPr>
              <w:t>Available data suggest that clinical response is usually achieved within 12 to 14 weeks of treatment (after 3-4 doses) - see information on increased dose plus BSR/NICE guidance regarding adequate response.</w:t>
            </w:r>
          </w:p>
        </w:tc>
      </w:tr>
      <w:tr w:rsidR="00B139C2" w:rsidRPr="00884993" w14:paraId="49024639" w14:textId="77777777" w:rsidTr="00094335">
        <w:tc>
          <w:tcPr>
            <w:tcW w:w="3315" w:type="dxa"/>
            <w:shd w:val="clear" w:color="auto" w:fill="CCFFFF"/>
          </w:tcPr>
          <w:p w14:paraId="35DCD32B" w14:textId="77777777" w:rsidR="00B139C2" w:rsidRPr="00884993" w:rsidRDefault="00B139C2" w:rsidP="00094335">
            <w:pPr>
              <w:rPr>
                <w:sz w:val="22"/>
                <w:szCs w:val="22"/>
              </w:rPr>
            </w:pPr>
            <w:r w:rsidRPr="00884993">
              <w:rPr>
                <w:sz w:val="22"/>
                <w:szCs w:val="22"/>
              </w:rPr>
              <w:t>Baseline Tests:</w:t>
            </w:r>
          </w:p>
        </w:tc>
        <w:tc>
          <w:tcPr>
            <w:tcW w:w="7274" w:type="dxa"/>
            <w:shd w:val="clear" w:color="auto" w:fill="auto"/>
          </w:tcPr>
          <w:p w14:paraId="739DE9C4" w14:textId="77777777" w:rsidR="00B139C2" w:rsidRPr="00884993" w:rsidRDefault="00B139C2" w:rsidP="00B139C2">
            <w:pPr>
              <w:numPr>
                <w:ilvl w:val="0"/>
                <w:numId w:val="16"/>
              </w:numPr>
              <w:overflowPunct/>
              <w:autoSpaceDE/>
              <w:autoSpaceDN/>
              <w:adjustRightInd/>
              <w:textAlignment w:val="auto"/>
              <w:rPr>
                <w:sz w:val="22"/>
                <w:szCs w:val="22"/>
              </w:rPr>
            </w:pPr>
            <w:r w:rsidRPr="00884993">
              <w:rPr>
                <w:sz w:val="22"/>
                <w:szCs w:val="22"/>
              </w:rPr>
              <w:t>Full clinical/infection screen</w:t>
            </w:r>
          </w:p>
          <w:p w14:paraId="0C1DF98B" w14:textId="77777777" w:rsidR="00B139C2" w:rsidRPr="00884993" w:rsidRDefault="00B139C2" w:rsidP="00B139C2">
            <w:pPr>
              <w:numPr>
                <w:ilvl w:val="0"/>
                <w:numId w:val="16"/>
              </w:numPr>
              <w:overflowPunct/>
              <w:autoSpaceDE/>
              <w:autoSpaceDN/>
              <w:adjustRightInd/>
              <w:textAlignment w:val="auto"/>
              <w:rPr>
                <w:sz w:val="22"/>
                <w:szCs w:val="22"/>
              </w:rPr>
            </w:pPr>
            <w:r w:rsidRPr="00884993">
              <w:rPr>
                <w:sz w:val="22"/>
                <w:szCs w:val="22"/>
              </w:rPr>
              <w:t>Urinalysis &amp; BP</w:t>
            </w:r>
          </w:p>
          <w:p w14:paraId="74FB0E5A" w14:textId="77777777" w:rsidR="00B139C2" w:rsidRPr="00884993" w:rsidRDefault="00B139C2" w:rsidP="00B139C2">
            <w:pPr>
              <w:numPr>
                <w:ilvl w:val="0"/>
                <w:numId w:val="16"/>
              </w:numPr>
              <w:overflowPunct/>
              <w:autoSpaceDE/>
              <w:autoSpaceDN/>
              <w:adjustRightInd/>
              <w:textAlignment w:val="auto"/>
              <w:rPr>
                <w:sz w:val="22"/>
                <w:szCs w:val="22"/>
                <w:lang w:val="sv-SE"/>
              </w:rPr>
            </w:pPr>
            <w:r w:rsidRPr="00884993">
              <w:rPr>
                <w:sz w:val="22"/>
                <w:szCs w:val="22"/>
                <w:lang w:val="sv-SE"/>
              </w:rPr>
              <w:t>FBC/U&amp;E/LFT/ANA/DNA</w:t>
            </w:r>
          </w:p>
          <w:p w14:paraId="5E629020" w14:textId="77777777" w:rsidR="00B139C2" w:rsidRPr="00884993" w:rsidRDefault="00B139C2" w:rsidP="00B139C2">
            <w:pPr>
              <w:numPr>
                <w:ilvl w:val="0"/>
                <w:numId w:val="16"/>
              </w:numPr>
              <w:overflowPunct/>
              <w:autoSpaceDE/>
              <w:autoSpaceDN/>
              <w:adjustRightInd/>
              <w:textAlignment w:val="auto"/>
              <w:rPr>
                <w:sz w:val="22"/>
                <w:szCs w:val="22"/>
              </w:rPr>
            </w:pPr>
            <w:r w:rsidRPr="00884993">
              <w:rPr>
                <w:sz w:val="22"/>
                <w:szCs w:val="22"/>
              </w:rPr>
              <w:t>CXR (evidence TB/fibrosis)</w:t>
            </w:r>
          </w:p>
          <w:p w14:paraId="063FF82A" w14:textId="77777777" w:rsidR="00B139C2" w:rsidRPr="00884993" w:rsidRDefault="00B139C2" w:rsidP="00B139C2">
            <w:pPr>
              <w:numPr>
                <w:ilvl w:val="0"/>
                <w:numId w:val="16"/>
              </w:numPr>
              <w:overflowPunct/>
              <w:autoSpaceDE/>
              <w:autoSpaceDN/>
              <w:adjustRightInd/>
              <w:textAlignment w:val="auto"/>
              <w:rPr>
                <w:sz w:val="22"/>
                <w:szCs w:val="22"/>
              </w:rPr>
            </w:pPr>
            <w:r w:rsidRPr="00884993">
              <w:rPr>
                <w:sz w:val="22"/>
                <w:szCs w:val="22"/>
              </w:rPr>
              <w:t>Quantiferon or TB spot (as indicated)</w:t>
            </w:r>
          </w:p>
          <w:p w14:paraId="5F20233F" w14:textId="5B250F6A" w:rsidR="00B139C2" w:rsidRPr="00884993" w:rsidRDefault="00B36B4C" w:rsidP="00B139C2">
            <w:pPr>
              <w:numPr>
                <w:ilvl w:val="0"/>
                <w:numId w:val="16"/>
              </w:numPr>
              <w:overflowPunct/>
              <w:autoSpaceDE/>
              <w:autoSpaceDN/>
              <w:adjustRightInd/>
              <w:textAlignment w:val="auto"/>
              <w:rPr>
                <w:sz w:val="22"/>
                <w:szCs w:val="22"/>
              </w:rPr>
            </w:pPr>
            <w:r>
              <w:rPr>
                <w:sz w:val="22"/>
                <w:szCs w:val="22"/>
              </w:rPr>
              <w:t>Consider h</w:t>
            </w:r>
            <w:r w:rsidR="00B139C2" w:rsidRPr="00884993">
              <w:rPr>
                <w:sz w:val="22"/>
                <w:szCs w:val="22"/>
              </w:rPr>
              <w:t>epatitis B&amp;C + HIV</w:t>
            </w:r>
          </w:p>
          <w:p w14:paraId="6EF5065E" w14:textId="77777777" w:rsidR="00B139C2" w:rsidRPr="00884993" w:rsidRDefault="00B139C2" w:rsidP="00B139C2">
            <w:pPr>
              <w:numPr>
                <w:ilvl w:val="0"/>
                <w:numId w:val="16"/>
              </w:numPr>
              <w:overflowPunct/>
              <w:autoSpaceDE/>
              <w:autoSpaceDN/>
              <w:adjustRightInd/>
              <w:textAlignment w:val="auto"/>
              <w:rPr>
                <w:sz w:val="22"/>
                <w:szCs w:val="22"/>
              </w:rPr>
            </w:pPr>
            <w:r w:rsidRPr="00884993">
              <w:rPr>
                <w:sz w:val="22"/>
                <w:szCs w:val="22"/>
              </w:rPr>
              <w:t>Pregnancy test if indicated</w:t>
            </w:r>
          </w:p>
        </w:tc>
      </w:tr>
      <w:tr w:rsidR="00B139C2" w:rsidRPr="00884993" w14:paraId="6940B693" w14:textId="77777777" w:rsidTr="00094335">
        <w:tc>
          <w:tcPr>
            <w:tcW w:w="3315" w:type="dxa"/>
            <w:shd w:val="clear" w:color="auto" w:fill="CCFFFF"/>
          </w:tcPr>
          <w:p w14:paraId="774CDF22" w14:textId="77777777" w:rsidR="00B139C2" w:rsidRPr="00884993" w:rsidRDefault="00B139C2" w:rsidP="00094335">
            <w:pPr>
              <w:rPr>
                <w:sz w:val="22"/>
                <w:szCs w:val="22"/>
              </w:rPr>
            </w:pPr>
            <w:r w:rsidRPr="00884993">
              <w:rPr>
                <w:sz w:val="22"/>
                <w:szCs w:val="22"/>
              </w:rPr>
              <w:t>Routine Monitoring:</w:t>
            </w:r>
          </w:p>
        </w:tc>
        <w:tc>
          <w:tcPr>
            <w:tcW w:w="7274" w:type="dxa"/>
            <w:shd w:val="clear" w:color="auto" w:fill="auto"/>
          </w:tcPr>
          <w:p w14:paraId="5B1900CE" w14:textId="71E54567" w:rsidR="00B139C2" w:rsidRPr="00884993" w:rsidRDefault="00B139C2" w:rsidP="00B36B4C">
            <w:pPr>
              <w:rPr>
                <w:sz w:val="22"/>
                <w:szCs w:val="22"/>
              </w:rPr>
            </w:pPr>
            <w:r w:rsidRPr="00884993">
              <w:rPr>
                <w:sz w:val="22"/>
                <w:szCs w:val="22"/>
              </w:rPr>
              <w:t>Continue standard DMARD monitoring, if monotherapy FBC</w:t>
            </w:r>
            <w:r w:rsidR="00B36B4C">
              <w:rPr>
                <w:sz w:val="22"/>
                <w:szCs w:val="22"/>
              </w:rPr>
              <w:t>/LFT at 1, 3 and 6 months then 6</w:t>
            </w:r>
            <w:r w:rsidRPr="00884993">
              <w:rPr>
                <w:sz w:val="22"/>
                <w:szCs w:val="22"/>
              </w:rPr>
              <w:t xml:space="preserve"> monthly </w:t>
            </w:r>
          </w:p>
        </w:tc>
      </w:tr>
      <w:tr w:rsidR="00B139C2" w:rsidRPr="00884993" w14:paraId="3F295FCB" w14:textId="77777777" w:rsidTr="00094335">
        <w:tc>
          <w:tcPr>
            <w:tcW w:w="3315" w:type="dxa"/>
            <w:shd w:val="clear" w:color="auto" w:fill="CCFFFF"/>
          </w:tcPr>
          <w:p w14:paraId="72A91A23" w14:textId="77777777" w:rsidR="00B139C2" w:rsidRPr="00884993" w:rsidRDefault="00B139C2" w:rsidP="00094335">
            <w:pPr>
              <w:rPr>
                <w:sz w:val="22"/>
                <w:szCs w:val="22"/>
              </w:rPr>
            </w:pPr>
            <w:r w:rsidRPr="00884993">
              <w:rPr>
                <w:sz w:val="22"/>
                <w:szCs w:val="22"/>
              </w:rPr>
              <w:t>Indications for Stopping Therapy:</w:t>
            </w:r>
          </w:p>
        </w:tc>
        <w:tc>
          <w:tcPr>
            <w:tcW w:w="7274" w:type="dxa"/>
            <w:shd w:val="clear" w:color="auto" w:fill="auto"/>
          </w:tcPr>
          <w:p w14:paraId="5C5CB0C4" w14:textId="77777777" w:rsidR="00B139C2" w:rsidRPr="00884993" w:rsidRDefault="00B139C2" w:rsidP="00094335">
            <w:pPr>
              <w:rPr>
                <w:sz w:val="22"/>
                <w:szCs w:val="22"/>
              </w:rPr>
            </w:pPr>
            <w:r w:rsidRPr="00884993">
              <w:rPr>
                <w:b/>
                <w:sz w:val="22"/>
                <w:szCs w:val="22"/>
              </w:rPr>
              <w:t>Stop if:</w:t>
            </w:r>
            <w:r w:rsidRPr="00884993">
              <w:rPr>
                <w:sz w:val="22"/>
                <w:szCs w:val="22"/>
              </w:rPr>
              <w:t xml:space="preserve"> </w:t>
            </w:r>
          </w:p>
          <w:p w14:paraId="6AF63960" w14:textId="77777777" w:rsidR="00B139C2" w:rsidRPr="00884993" w:rsidRDefault="00B139C2" w:rsidP="00094335">
            <w:pPr>
              <w:rPr>
                <w:sz w:val="22"/>
                <w:szCs w:val="22"/>
              </w:rPr>
            </w:pPr>
            <w:r w:rsidRPr="00884993">
              <w:rPr>
                <w:sz w:val="22"/>
                <w:szCs w:val="22"/>
              </w:rPr>
              <w:t xml:space="preserve">●Evidence of infection ●Possible demyelination ●SLE / autoimmune syndrome </w:t>
            </w:r>
          </w:p>
          <w:p w14:paraId="0304007B" w14:textId="77777777" w:rsidR="00B139C2" w:rsidRPr="00884993" w:rsidRDefault="00B139C2" w:rsidP="00094335">
            <w:pPr>
              <w:rPr>
                <w:sz w:val="22"/>
                <w:szCs w:val="22"/>
              </w:rPr>
            </w:pPr>
            <w:r w:rsidRPr="00884993">
              <w:rPr>
                <w:sz w:val="22"/>
                <w:szCs w:val="22"/>
              </w:rPr>
              <w:t>●Severe injection site reaction (If minor reaction try oral anti-histamine or topical corticosteroids)</w:t>
            </w:r>
          </w:p>
          <w:p w14:paraId="4B9311AD" w14:textId="77777777" w:rsidR="00B139C2" w:rsidRPr="00884993" w:rsidRDefault="00B139C2" w:rsidP="00094335">
            <w:pPr>
              <w:rPr>
                <w:sz w:val="22"/>
                <w:szCs w:val="22"/>
              </w:rPr>
            </w:pPr>
            <w:r w:rsidRPr="00884993">
              <w:rPr>
                <w:sz w:val="22"/>
                <w:szCs w:val="22"/>
              </w:rPr>
              <w:t>WCC           &lt;3.5 10</w:t>
            </w:r>
            <w:r w:rsidRPr="00884993">
              <w:rPr>
                <w:sz w:val="22"/>
                <w:szCs w:val="22"/>
                <w:vertAlign w:val="superscript"/>
              </w:rPr>
              <w:t>9/</w:t>
            </w:r>
            <w:r w:rsidRPr="00884993">
              <w:rPr>
                <w:sz w:val="22"/>
                <w:szCs w:val="22"/>
              </w:rPr>
              <w:t>L or below local normal range</w:t>
            </w:r>
          </w:p>
          <w:p w14:paraId="6419ED05" w14:textId="77777777" w:rsidR="00B139C2" w:rsidRPr="00884993" w:rsidRDefault="00B139C2" w:rsidP="00094335">
            <w:pPr>
              <w:rPr>
                <w:sz w:val="22"/>
                <w:szCs w:val="22"/>
              </w:rPr>
            </w:pPr>
            <w:r w:rsidRPr="00884993">
              <w:rPr>
                <w:sz w:val="22"/>
                <w:szCs w:val="22"/>
              </w:rPr>
              <w:t>Neutrophils &lt; 2.0 10</w:t>
            </w:r>
            <w:r w:rsidRPr="00884993">
              <w:rPr>
                <w:sz w:val="22"/>
                <w:szCs w:val="22"/>
                <w:vertAlign w:val="superscript"/>
              </w:rPr>
              <w:t>9/</w:t>
            </w:r>
            <w:r w:rsidRPr="00884993">
              <w:rPr>
                <w:sz w:val="22"/>
                <w:szCs w:val="22"/>
              </w:rPr>
              <w:t>L or below local normal range</w:t>
            </w:r>
          </w:p>
          <w:p w14:paraId="51A6BB1F" w14:textId="77777777" w:rsidR="00B139C2" w:rsidRPr="00884993" w:rsidRDefault="00B139C2" w:rsidP="00094335">
            <w:pPr>
              <w:rPr>
                <w:sz w:val="22"/>
                <w:szCs w:val="22"/>
              </w:rPr>
            </w:pPr>
            <w:r w:rsidRPr="00884993">
              <w:rPr>
                <w:sz w:val="22"/>
                <w:szCs w:val="22"/>
              </w:rPr>
              <w:t>Platelets      &lt;150 10</w:t>
            </w:r>
            <w:r w:rsidRPr="00884993">
              <w:rPr>
                <w:sz w:val="22"/>
                <w:szCs w:val="22"/>
                <w:vertAlign w:val="superscript"/>
              </w:rPr>
              <w:t>9/</w:t>
            </w:r>
            <w:r w:rsidRPr="00884993">
              <w:rPr>
                <w:sz w:val="22"/>
                <w:szCs w:val="22"/>
              </w:rPr>
              <w:t>L or below local normal range</w:t>
            </w:r>
          </w:p>
          <w:p w14:paraId="04657A18" w14:textId="77777777" w:rsidR="00B139C2" w:rsidRPr="00884993" w:rsidRDefault="00B139C2" w:rsidP="00094335">
            <w:pPr>
              <w:rPr>
                <w:sz w:val="22"/>
                <w:szCs w:val="22"/>
              </w:rPr>
            </w:pPr>
            <w:r w:rsidRPr="00884993">
              <w:rPr>
                <w:sz w:val="22"/>
                <w:szCs w:val="22"/>
              </w:rPr>
              <w:t>AST or ALT &gt; 3 times normal range (iu/L)</w:t>
            </w:r>
          </w:p>
          <w:p w14:paraId="4409986D" w14:textId="77777777" w:rsidR="00B139C2" w:rsidRPr="00884993" w:rsidRDefault="00B139C2" w:rsidP="00094335">
            <w:pPr>
              <w:rPr>
                <w:sz w:val="22"/>
                <w:szCs w:val="22"/>
              </w:rPr>
            </w:pPr>
            <w:r w:rsidRPr="00884993">
              <w:rPr>
                <w:b/>
                <w:sz w:val="22"/>
                <w:szCs w:val="22"/>
              </w:rPr>
              <w:t>CONTACT THE RHEUMATOLOGY SERVICE</w:t>
            </w:r>
          </w:p>
        </w:tc>
      </w:tr>
      <w:tr w:rsidR="00B139C2" w:rsidRPr="00884993" w14:paraId="6B3642F6" w14:textId="77777777" w:rsidTr="00094335">
        <w:tc>
          <w:tcPr>
            <w:tcW w:w="10589" w:type="dxa"/>
            <w:gridSpan w:val="2"/>
            <w:tcBorders>
              <w:bottom w:val="single" w:sz="4" w:space="0" w:color="auto"/>
            </w:tcBorders>
            <w:shd w:val="clear" w:color="auto" w:fill="auto"/>
          </w:tcPr>
          <w:p w14:paraId="314CD28D" w14:textId="77777777" w:rsidR="00B139C2" w:rsidRPr="00884993" w:rsidRDefault="00B139C2" w:rsidP="00094335">
            <w:pPr>
              <w:rPr>
                <w:sz w:val="22"/>
                <w:szCs w:val="22"/>
              </w:rPr>
            </w:pPr>
            <w:r w:rsidRPr="00884993">
              <w:rPr>
                <w:sz w:val="22"/>
                <w:szCs w:val="22"/>
              </w:rPr>
              <w:t xml:space="preserve">Please refer to licensed datasheet for more comprehensive prescribing information: </w:t>
            </w:r>
            <w:hyperlink r:id="rId85" w:history="1">
              <w:r w:rsidRPr="00884993">
                <w:rPr>
                  <w:rStyle w:val="Hyperlink"/>
                  <w:sz w:val="22"/>
                  <w:szCs w:val="22"/>
                </w:rPr>
                <w:t>http://www.medicines.org.uk/EMC/medicine/23766/SPC/Simponi+50+mg+solution+for+injection/</w:t>
              </w:r>
            </w:hyperlink>
          </w:p>
        </w:tc>
      </w:tr>
    </w:tbl>
    <w:p w14:paraId="1EDFFDDA" w14:textId="77777777" w:rsidR="00B36B4C" w:rsidRDefault="00B36B4C">
      <w:pPr>
        <w:overflowPunct/>
        <w:autoSpaceDE/>
        <w:autoSpaceDN/>
        <w:adjustRightInd/>
        <w:spacing w:after="160" w:line="259" w:lineRule="auto"/>
        <w:textAlignment w:val="auto"/>
        <w:rPr>
          <w:rFonts w:eastAsiaTheme="majorEastAsia" w:cstheme="majorBidi"/>
          <w:b/>
          <w:sz w:val="26"/>
          <w:szCs w:val="26"/>
        </w:rPr>
      </w:pPr>
      <w:r>
        <w:br w:type="page"/>
      </w:r>
    </w:p>
    <w:p w14:paraId="154C4AD8" w14:textId="2CCC8CE2" w:rsidR="00B139C2" w:rsidRDefault="00CF234C" w:rsidP="00941ACA">
      <w:pPr>
        <w:pStyle w:val="Heading2"/>
        <w:ind w:firstLine="720"/>
      </w:pPr>
      <w:bookmarkStart w:id="28" w:name="_Toc531873940"/>
      <w:r w:rsidRPr="000B5112">
        <w:lastRenderedPageBreak/>
        <w:t>Infliximab (Remicade®</w:t>
      </w:r>
      <w:r w:rsidR="00996F7B">
        <w:t>; Inflectra</w:t>
      </w:r>
      <w:r w:rsidR="00996F7B" w:rsidRPr="006140D1">
        <w:t>®</w:t>
      </w:r>
      <w:r w:rsidR="00996F7B">
        <w:t>; Remsima</w:t>
      </w:r>
      <w:r w:rsidR="00996F7B" w:rsidRPr="006140D1">
        <w:t>®</w:t>
      </w:r>
      <w:r w:rsidR="00996F7B">
        <w:t>; Flixabi</w:t>
      </w:r>
      <w:r w:rsidR="00996F7B" w:rsidRPr="006140D1">
        <w:t>®</w:t>
      </w:r>
      <w:r w:rsidRPr="000B5112">
        <w:t>)</w:t>
      </w:r>
      <w:bookmarkEnd w:id="28"/>
      <w:r w:rsidRPr="000B5112">
        <w:t xml:space="preserve"> </w:t>
      </w:r>
    </w:p>
    <w:p w14:paraId="02B9090E" w14:textId="0E4FCCEB" w:rsidR="00F9139F" w:rsidRDefault="00F9139F" w:rsidP="00F9139F">
      <w:pPr>
        <w:rPr>
          <w:rFonts w:eastAsia="Arial Unicode MS"/>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4"/>
        <w:gridCol w:w="6362"/>
      </w:tblGrid>
      <w:tr w:rsidR="00F9139F" w:rsidRPr="00884993" w14:paraId="7EEC0FEA" w14:textId="77777777" w:rsidTr="00717EEC">
        <w:tc>
          <w:tcPr>
            <w:tcW w:w="4064" w:type="dxa"/>
            <w:shd w:val="clear" w:color="auto" w:fill="CCFFFF"/>
          </w:tcPr>
          <w:p w14:paraId="3E0921E3" w14:textId="77777777" w:rsidR="00F9139F" w:rsidRPr="00884993" w:rsidRDefault="00F9139F" w:rsidP="00717EEC">
            <w:pPr>
              <w:rPr>
                <w:sz w:val="22"/>
                <w:szCs w:val="22"/>
              </w:rPr>
            </w:pPr>
            <w:r w:rsidRPr="00884993">
              <w:rPr>
                <w:sz w:val="22"/>
                <w:szCs w:val="22"/>
              </w:rPr>
              <w:t>Therapeutic Class:</w:t>
            </w:r>
          </w:p>
        </w:tc>
        <w:tc>
          <w:tcPr>
            <w:tcW w:w="6362" w:type="dxa"/>
            <w:shd w:val="clear" w:color="auto" w:fill="auto"/>
          </w:tcPr>
          <w:p w14:paraId="7F65C964" w14:textId="77777777" w:rsidR="00F9139F" w:rsidRPr="00884993" w:rsidRDefault="00F9139F" w:rsidP="00717EEC">
            <w:pPr>
              <w:rPr>
                <w:sz w:val="22"/>
                <w:szCs w:val="22"/>
              </w:rPr>
            </w:pPr>
            <w:r w:rsidRPr="00884993">
              <w:rPr>
                <w:sz w:val="22"/>
                <w:szCs w:val="22"/>
              </w:rPr>
              <w:t>Biologic - TNF  Inhibitor (chimeric human-murine IgG1 monoclonal antibody)</w:t>
            </w:r>
          </w:p>
        </w:tc>
      </w:tr>
      <w:tr w:rsidR="00F9139F" w:rsidRPr="00884993" w14:paraId="3C98F3F3" w14:textId="77777777" w:rsidTr="00717EEC">
        <w:tc>
          <w:tcPr>
            <w:tcW w:w="4064" w:type="dxa"/>
            <w:shd w:val="clear" w:color="auto" w:fill="CCFFFF"/>
          </w:tcPr>
          <w:p w14:paraId="412B7753" w14:textId="77777777" w:rsidR="00F9139F" w:rsidRPr="00884993" w:rsidRDefault="00F9139F" w:rsidP="00717EEC">
            <w:pPr>
              <w:rPr>
                <w:sz w:val="22"/>
                <w:szCs w:val="22"/>
              </w:rPr>
            </w:pPr>
            <w:r w:rsidRPr="00884993">
              <w:rPr>
                <w:sz w:val="22"/>
                <w:szCs w:val="22"/>
              </w:rPr>
              <w:t>Licensed Indications:</w:t>
            </w:r>
          </w:p>
        </w:tc>
        <w:tc>
          <w:tcPr>
            <w:tcW w:w="6362" w:type="dxa"/>
            <w:shd w:val="clear" w:color="auto" w:fill="auto"/>
          </w:tcPr>
          <w:p w14:paraId="3B8D739C" w14:textId="77777777" w:rsidR="00F9139F" w:rsidRPr="00884993" w:rsidRDefault="00F9139F" w:rsidP="00717EEC">
            <w:pPr>
              <w:rPr>
                <w:sz w:val="22"/>
                <w:szCs w:val="22"/>
              </w:rPr>
            </w:pPr>
            <w:r w:rsidRPr="00884993">
              <w:rPr>
                <w:sz w:val="22"/>
                <w:szCs w:val="22"/>
              </w:rPr>
              <w:t>RA (in combination with methotrexate);AS;PsA</w:t>
            </w:r>
          </w:p>
        </w:tc>
      </w:tr>
      <w:tr w:rsidR="00F9139F" w:rsidRPr="00884993" w14:paraId="6DDB4137" w14:textId="77777777" w:rsidTr="00717EEC">
        <w:tc>
          <w:tcPr>
            <w:tcW w:w="4064" w:type="dxa"/>
            <w:tcBorders>
              <w:bottom w:val="single" w:sz="4" w:space="0" w:color="auto"/>
            </w:tcBorders>
            <w:shd w:val="clear" w:color="auto" w:fill="CCFFFF"/>
          </w:tcPr>
          <w:p w14:paraId="52D387AB" w14:textId="77777777" w:rsidR="00F9139F" w:rsidRPr="00884993" w:rsidRDefault="00F9139F" w:rsidP="00717EEC">
            <w:pPr>
              <w:rPr>
                <w:sz w:val="22"/>
                <w:szCs w:val="22"/>
              </w:rPr>
            </w:pPr>
            <w:r w:rsidRPr="00884993">
              <w:rPr>
                <w:sz w:val="22"/>
                <w:szCs w:val="22"/>
              </w:rPr>
              <w:t>Licensed Dose:</w:t>
            </w:r>
          </w:p>
        </w:tc>
        <w:tc>
          <w:tcPr>
            <w:tcW w:w="6362" w:type="dxa"/>
            <w:shd w:val="clear" w:color="auto" w:fill="auto"/>
          </w:tcPr>
          <w:p w14:paraId="18089586" w14:textId="77777777" w:rsidR="00F9139F" w:rsidRPr="00884993" w:rsidRDefault="00F9139F" w:rsidP="00717EEC">
            <w:pPr>
              <w:rPr>
                <w:sz w:val="22"/>
                <w:szCs w:val="22"/>
              </w:rPr>
            </w:pPr>
            <w:r w:rsidRPr="00884993">
              <w:rPr>
                <w:b/>
                <w:sz w:val="22"/>
                <w:szCs w:val="22"/>
              </w:rPr>
              <w:t xml:space="preserve">RA </w:t>
            </w:r>
            <w:r w:rsidRPr="00884993">
              <w:rPr>
                <w:sz w:val="22"/>
                <w:szCs w:val="22"/>
              </w:rPr>
              <w:t>- 3mg/kg</w:t>
            </w:r>
            <w:r>
              <w:rPr>
                <w:sz w:val="22"/>
                <w:szCs w:val="22"/>
              </w:rPr>
              <w:t xml:space="preserve"> </w:t>
            </w:r>
            <w:r w:rsidRPr="00884993">
              <w:rPr>
                <w:sz w:val="22"/>
                <w:szCs w:val="22"/>
              </w:rPr>
              <w:t>given as an intravenous infusion followed by additional 3 mg/kg infusion doses at 2 and 6 weeks after the first infusion, then every 8 weeks thereafter (refer to datasheet regarding non-standard increased doses and reduced dosage intervals in RA).</w:t>
            </w:r>
            <w:r>
              <w:rPr>
                <w:sz w:val="22"/>
                <w:szCs w:val="22"/>
              </w:rPr>
              <w:t xml:space="preserve"> </w:t>
            </w:r>
            <w:r w:rsidRPr="000E420A">
              <w:rPr>
                <w:sz w:val="22"/>
                <w:szCs w:val="22"/>
              </w:rPr>
              <w:t>For disease that has an inadequate response or loss of response after 12 weeks of treatment, consideration may be given to increasing the dose step‑wise by approximately 1.5 mg/kg up to a maximum of 7.5 mg/kg every 8 weeks. Alternatively, administration of 3 mg/kg as often as every 4 weeks may be considered.</w:t>
            </w:r>
          </w:p>
          <w:p w14:paraId="1C5CE676" w14:textId="77777777" w:rsidR="00F9139F" w:rsidRPr="00884993" w:rsidRDefault="00F9139F" w:rsidP="00717EEC">
            <w:pPr>
              <w:rPr>
                <w:sz w:val="22"/>
                <w:szCs w:val="22"/>
              </w:rPr>
            </w:pPr>
            <w:r w:rsidRPr="00884993">
              <w:rPr>
                <w:b/>
                <w:sz w:val="22"/>
                <w:szCs w:val="22"/>
              </w:rPr>
              <w:t>AS</w:t>
            </w:r>
            <w:r w:rsidRPr="00884993">
              <w:rPr>
                <w:sz w:val="22"/>
                <w:szCs w:val="22"/>
              </w:rPr>
              <w:t xml:space="preserve"> -5 mg/kg given as an intravenous infusion followed by additional 5 mg/kg infusion doses at 2 and 6 weeks after the first infusion, then every 6 to 8 weeks.</w:t>
            </w:r>
          </w:p>
          <w:p w14:paraId="19684608" w14:textId="77777777" w:rsidR="00F9139F" w:rsidRDefault="00F9139F" w:rsidP="00717EEC">
            <w:pPr>
              <w:rPr>
                <w:sz w:val="22"/>
                <w:szCs w:val="22"/>
              </w:rPr>
            </w:pPr>
            <w:r w:rsidRPr="00884993">
              <w:rPr>
                <w:b/>
                <w:sz w:val="22"/>
                <w:szCs w:val="22"/>
              </w:rPr>
              <w:t>PsA</w:t>
            </w:r>
            <w:r w:rsidRPr="00884993">
              <w:rPr>
                <w:sz w:val="22"/>
                <w:szCs w:val="22"/>
              </w:rPr>
              <w:t xml:space="preserve"> - 5mg/kg given as an intravenous infusion followed by additional 5 mg/kg infusion doses at 2 and 6 weeks after the first infusion, then every 8 weeks thereafter.  </w:t>
            </w:r>
          </w:p>
          <w:p w14:paraId="3301F9DC" w14:textId="2DF795B8" w:rsidR="00996F7B" w:rsidRPr="00884993" w:rsidRDefault="00996F7B" w:rsidP="00717EEC">
            <w:pPr>
              <w:rPr>
                <w:sz w:val="22"/>
                <w:szCs w:val="22"/>
              </w:rPr>
            </w:pPr>
            <w:r>
              <w:rPr>
                <w:sz w:val="22"/>
                <w:szCs w:val="22"/>
              </w:rPr>
              <w:t>Dosing may be informed by measuring pre-treatment levels</w:t>
            </w:r>
          </w:p>
        </w:tc>
      </w:tr>
      <w:tr w:rsidR="00F9139F" w:rsidRPr="00884993" w14:paraId="4D67C667" w14:textId="77777777" w:rsidTr="00717EEC">
        <w:tc>
          <w:tcPr>
            <w:tcW w:w="4064" w:type="dxa"/>
            <w:shd w:val="clear" w:color="auto" w:fill="CCFFFF"/>
          </w:tcPr>
          <w:p w14:paraId="0F61C216" w14:textId="77777777" w:rsidR="00F9139F" w:rsidRPr="00884993" w:rsidRDefault="00F9139F" w:rsidP="00717EEC">
            <w:pPr>
              <w:rPr>
                <w:sz w:val="22"/>
                <w:szCs w:val="22"/>
              </w:rPr>
            </w:pPr>
            <w:r w:rsidRPr="00884993">
              <w:rPr>
                <w:sz w:val="22"/>
                <w:szCs w:val="22"/>
              </w:rPr>
              <w:t>Preparations:</w:t>
            </w:r>
          </w:p>
        </w:tc>
        <w:tc>
          <w:tcPr>
            <w:tcW w:w="6362" w:type="dxa"/>
            <w:shd w:val="clear" w:color="auto" w:fill="auto"/>
          </w:tcPr>
          <w:p w14:paraId="345F7712" w14:textId="77777777" w:rsidR="00F9139F" w:rsidRPr="00884993" w:rsidRDefault="00F9139F" w:rsidP="00717EEC">
            <w:pPr>
              <w:rPr>
                <w:sz w:val="22"/>
                <w:szCs w:val="22"/>
              </w:rPr>
            </w:pPr>
            <w:r w:rsidRPr="00884993">
              <w:rPr>
                <w:sz w:val="22"/>
                <w:szCs w:val="22"/>
              </w:rPr>
              <w:t>100 mg powder vial (Administered in 250ml 0.9% sodium chloride, first 3 infusions over 2 hours, infusion 4 to 10 over 60 minutes thereafter over 30 minutes).</w:t>
            </w:r>
          </w:p>
        </w:tc>
      </w:tr>
      <w:tr w:rsidR="00F9139F" w:rsidRPr="00884993" w14:paraId="34976006" w14:textId="77777777" w:rsidTr="00717EEC">
        <w:tc>
          <w:tcPr>
            <w:tcW w:w="4064" w:type="dxa"/>
            <w:shd w:val="clear" w:color="auto" w:fill="CCFFFF"/>
          </w:tcPr>
          <w:p w14:paraId="21334798" w14:textId="77777777" w:rsidR="00F9139F" w:rsidRPr="00884993" w:rsidRDefault="00F9139F" w:rsidP="00717EEC">
            <w:pPr>
              <w:rPr>
                <w:sz w:val="22"/>
                <w:szCs w:val="22"/>
              </w:rPr>
            </w:pPr>
            <w:r w:rsidRPr="00884993">
              <w:rPr>
                <w:sz w:val="22"/>
                <w:szCs w:val="22"/>
              </w:rPr>
              <w:t>NICE Guidance:</w:t>
            </w:r>
          </w:p>
        </w:tc>
        <w:tc>
          <w:tcPr>
            <w:tcW w:w="6362" w:type="dxa"/>
            <w:shd w:val="clear" w:color="auto" w:fill="auto"/>
          </w:tcPr>
          <w:p w14:paraId="474E5475" w14:textId="77777777" w:rsidR="00F9139F" w:rsidRDefault="00F9139F" w:rsidP="00717EEC">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RA: </w:t>
            </w:r>
            <w:hyperlink r:id="rId86" w:history="1">
              <w:r w:rsidRPr="004132B1">
                <w:rPr>
                  <w:rStyle w:val="Hyperlink"/>
                  <w:kern w:val="24"/>
                  <w:sz w:val="22"/>
                  <w:szCs w:val="22"/>
                  <w:lang w:eastAsia="en-GB"/>
                </w:rPr>
                <w:t>TA375</w:t>
              </w:r>
            </w:hyperlink>
            <w:r>
              <w:rPr>
                <w:rStyle w:val="Hyperlink"/>
                <w:kern w:val="24"/>
                <w:sz w:val="22"/>
                <w:szCs w:val="22"/>
                <w:lang w:eastAsia="en-GB"/>
              </w:rPr>
              <w:t xml:space="preserve"> </w:t>
            </w:r>
            <w:r w:rsidRPr="00586C73">
              <w:rPr>
                <w:rStyle w:val="Hyperlink"/>
                <w:color w:val="auto"/>
                <w:kern w:val="24"/>
                <w:sz w:val="22"/>
                <w:szCs w:val="22"/>
                <w:lang w:eastAsia="en-GB"/>
              </w:rPr>
              <w:t xml:space="preserve">and </w:t>
            </w:r>
            <w:hyperlink r:id="rId87" w:history="1">
              <w:r w:rsidRPr="001C116E">
                <w:rPr>
                  <w:rStyle w:val="Hyperlink"/>
                  <w:kern w:val="24"/>
                  <w:sz w:val="22"/>
                  <w:szCs w:val="22"/>
                  <w:lang w:eastAsia="en-GB"/>
                </w:rPr>
                <w:t>TA195</w:t>
              </w:r>
            </w:hyperlink>
            <w:r>
              <w:rPr>
                <w:rStyle w:val="Hyperlink"/>
                <w:kern w:val="24"/>
                <w:sz w:val="22"/>
                <w:szCs w:val="22"/>
                <w:lang w:eastAsia="en-GB"/>
              </w:rPr>
              <w:t xml:space="preserve"> </w:t>
            </w:r>
            <w:r>
              <w:rPr>
                <w:rStyle w:val="Hyperlink"/>
                <w:color w:val="auto"/>
                <w:kern w:val="24"/>
                <w:sz w:val="22"/>
                <w:szCs w:val="22"/>
                <w:lang w:eastAsia="en-GB"/>
              </w:rPr>
              <w:t>(after TNF failure if rituximab CI/failed)</w:t>
            </w:r>
          </w:p>
          <w:p w14:paraId="230AD5DC" w14:textId="77777777" w:rsidR="00F9139F" w:rsidRDefault="00F9139F" w:rsidP="00717EEC">
            <w:pPr>
              <w:overflowPunct/>
              <w:autoSpaceDE/>
              <w:autoSpaceDN/>
              <w:adjustRightInd/>
              <w:contextualSpacing/>
              <w:textAlignment w:val="auto"/>
              <w:rPr>
                <w:color w:val="000000"/>
                <w:kern w:val="24"/>
                <w:sz w:val="22"/>
                <w:szCs w:val="22"/>
                <w:lang w:eastAsia="en-GB"/>
              </w:rPr>
            </w:pPr>
            <w:r>
              <w:rPr>
                <w:color w:val="000000"/>
                <w:kern w:val="24"/>
                <w:sz w:val="22"/>
                <w:szCs w:val="22"/>
                <w:lang w:eastAsia="en-GB"/>
              </w:rPr>
              <w:t xml:space="preserve">PsA: </w:t>
            </w:r>
            <w:hyperlink r:id="rId88" w:history="1">
              <w:r w:rsidRPr="00604B75">
                <w:rPr>
                  <w:rStyle w:val="Hyperlink"/>
                  <w:kern w:val="24"/>
                  <w:sz w:val="22"/>
                  <w:szCs w:val="22"/>
                  <w:lang w:eastAsia="en-GB"/>
                </w:rPr>
                <w:t>TA199</w:t>
              </w:r>
            </w:hyperlink>
          </w:p>
          <w:p w14:paraId="71BB2C17" w14:textId="77777777" w:rsidR="00F9139F" w:rsidRPr="00884993" w:rsidRDefault="00F9139F" w:rsidP="00717EEC">
            <w:pPr>
              <w:rPr>
                <w:sz w:val="22"/>
                <w:szCs w:val="22"/>
              </w:rPr>
            </w:pPr>
            <w:r>
              <w:rPr>
                <w:color w:val="000000"/>
                <w:kern w:val="24"/>
                <w:sz w:val="22"/>
                <w:szCs w:val="22"/>
                <w:lang w:eastAsia="en-GB"/>
              </w:rPr>
              <w:t xml:space="preserve">AS: </w:t>
            </w:r>
            <w:hyperlink r:id="rId89" w:history="1">
              <w:r w:rsidRPr="00604B75">
                <w:rPr>
                  <w:rStyle w:val="Hyperlink"/>
                  <w:kern w:val="24"/>
                  <w:sz w:val="22"/>
                  <w:szCs w:val="22"/>
                  <w:lang w:eastAsia="en-GB"/>
                </w:rPr>
                <w:t>TA383</w:t>
              </w:r>
            </w:hyperlink>
          </w:p>
        </w:tc>
      </w:tr>
      <w:tr w:rsidR="00F9139F" w:rsidRPr="00884993" w14:paraId="6012770F" w14:textId="77777777" w:rsidTr="00717EEC">
        <w:tc>
          <w:tcPr>
            <w:tcW w:w="4064" w:type="dxa"/>
            <w:shd w:val="clear" w:color="auto" w:fill="CCFFFF"/>
          </w:tcPr>
          <w:p w14:paraId="2E4B8EC9" w14:textId="77777777" w:rsidR="00F9139F" w:rsidRPr="00884993" w:rsidRDefault="00F9139F" w:rsidP="00717EEC">
            <w:pPr>
              <w:rPr>
                <w:sz w:val="22"/>
                <w:szCs w:val="22"/>
              </w:rPr>
            </w:pPr>
            <w:r w:rsidRPr="00884993">
              <w:rPr>
                <w:sz w:val="22"/>
                <w:szCs w:val="22"/>
              </w:rPr>
              <w:t>Warnings/Contra-indications/Significant drug interactions:</w:t>
            </w:r>
          </w:p>
          <w:p w14:paraId="23B18F3C" w14:textId="77777777" w:rsidR="00F9139F" w:rsidRPr="00884993" w:rsidRDefault="00F9139F" w:rsidP="00717EEC">
            <w:pPr>
              <w:rPr>
                <w:sz w:val="22"/>
                <w:szCs w:val="22"/>
              </w:rPr>
            </w:pPr>
            <w:r w:rsidRPr="00884993">
              <w:rPr>
                <w:sz w:val="22"/>
                <w:szCs w:val="22"/>
              </w:rPr>
              <w:t>(*Refer to licensed datasheet for special warnings)</w:t>
            </w:r>
          </w:p>
        </w:tc>
        <w:tc>
          <w:tcPr>
            <w:tcW w:w="6362" w:type="dxa"/>
            <w:shd w:val="clear" w:color="auto" w:fill="auto"/>
          </w:tcPr>
          <w:p w14:paraId="6DD0BEF2" w14:textId="77777777" w:rsidR="00F9139F" w:rsidRPr="00884993" w:rsidRDefault="00F9139F" w:rsidP="00717EEC">
            <w:pPr>
              <w:rPr>
                <w:sz w:val="22"/>
                <w:szCs w:val="22"/>
              </w:rPr>
            </w:pPr>
            <w:r w:rsidRPr="00884993">
              <w:rPr>
                <w:sz w:val="22"/>
                <w:szCs w:val="22"/>
              </w:rPr>
              <w:t>● Live vaccines must not be given ●Hypersensitivity to the active substance or to any of the excipients (including other murine proteins) ●.Active tuberculosis or other severe infections such as sepsis, and opportunistic infections ●. Moderate to severe heart failure (NYHA class III/IV)</w:t>
            </w:r>
          </w:p>
          <w:p w14:paraId="7C3A350F" w14:textId="77777777" w:rsidR="00F9139F" w:rsidRPr="00884993" w:rsidRDefault="00F9139F" w:rsidP="00717EEC">
            <w:pPr>
              <w:rPr>
                <w:sz w:val="22"/>
                <w:szCs w:val="22"/>
              </w:rPr>
            </w:pPr>
            <w:r w:rsidRPr="00884993">
              <w:rPr>
                <w:sz w:val="22"/>
                <w:szCs w:val="22"/>
              </w:rPr>
              <w:t>*Patients treated with infliximab should be given the package leaflet and the special Alert card.</w:t>
            </w:r>
          </w:p>
        </w:tc>
      </w:tr>
      <w:tr w:rsidR="00F9139F" w:rsidRPr="00884993" w14:paraId="44732902" w14:textId="77777777" w:rsidTr="00717EEC">
        <w:tc>
          <w:tcPr>
            <w:tcW w:w="4064" w:type="dxa"/>
            <w:shd w:val="clear" w:color="auto" w:fill="CCFFFF"/>
          </w:tcPr>
          <w:p w14:paraId="3F6E68F8" w14:textId="77777777" w:rsidR="00F9139F" w:rsidRPr="00884993" w:rsidRDefault="00F9139F" w:rsidP="00717EEC">
            <w:pPr>
              <w:rPr>
                <w:sz w:val="22"/>
                <w:szCs w:val="22"/>
              </w:rPr>
            </w:pPr>
            <w:r w:rsidRPr="00884993">
              <w:rPr>
                <w:sz w:val="22"/>
                <w:szCs w:val="22"/>
              </w:rPr>
              <w:t>Pregnancy &amp; Breastfeeding:</w:t>
            </w:r>
          </w:p>
        </w:tc>
        <w:tc>
          <w:tcPr>
            <w:tcW w:w="6362" w:type="dxa"/>
            <w:shd w:val="clear" w:color="auto" w:fill="auto"/>
          </w:tcPr>
          <w:p w14:paraId="09BDC8DD" w14:textId="77777777" w:rsidR="00F9139F" w:rsidRPr="00884993" w:rsidRDefault="00F9139F" w:rsidP="00717EEC">
            <w:pPr>
              <w:overflowPunct/>
              <w:autoSpaceDE/>
              <w:autoSpaceDN/>
              <w:adjustRightInd/>
              <w:textAlignment w:val="auto"/>
              <w:rPr>
                <w:sz w:val="22"/>
                <w:szCs w:val="22"/>
              </w:rPr>
            </w:pPr>
            <w:r w:rsidRPr="00884993">
              <w:rPr>
                <w:sz w:val="22"/>
                <w:szCs w:val="22"/>
              </w:rPr>
              <w:t>Please contact the Rheumatologist if patient considering conceiving or in case of pregnancy.</w:t>
            </w:r>
          </w:p>
          <w:p w14:paraId="50CF86CC" w14:textId="77777777" w:rsidR="00F9139F" w:rsidRPr="00884993" w:rsidRDefault="00F9139F" w:rsidP="00717EEC">
            <w:pPr>
              <w:rPr>
                <w:sz w:val="22"/>
                <w:szCs w:val="22"/>
              </w:rPr>
            </w:pPr>
            <w:r w:rsidRPr="00884993">
              <w:rPr>
                <w:sz w:val="22"/>
                <w:szCs w:val="22"/>
              </w:rPr>
              <w:t xml:space="preserve"> (*Administration of live vaccines to infants exposed to infliximab in utero is not recommended for 6 months following the mother's last infliximab infusion during pregnancy)</w:t>
            </w:r>
          </w:p>
        </w:tc>
      </w:tr>
      <w:tr w:rsidR="00F9139F" w:rsidRPr="00884993" w14:paraId="76E68E19" w14:textId="77777777" w:rsidTr="00717EEC">
        <w:tc>
          <w:tcPr>
            <w:tcW w:w="4064" w:type="dxa"/>
            <w:shd w:val="clear" w:color="auto" w:fill="CCFFFF"/>
          </w:tcPr>
          <w:p w14:paraId="10F916F5" w14:textId="77777777" w:rsidR="00F9139F" w:rsidRPr="00884993" w:rsidRDefault="00F9139F" w:rsidP="00717EEC">
            <w:pPr>
              <w:rPr>
                <w:sz w:val="22"/>
                <w:szCs w:val="22"/>
              </w:rPr>
            </w:pPr>
            <w:r w:rsidRPr="00884993">
              <w:rPr>
                <w:sz w:val="22"/>
                <w:szCs w:val="22"/>
              </w:rPr>
              <w:t>Assessment of Response:</w:t>
            </w:r>
          </w:p>
        </w:tc>
        <w:tc>
          <w:tcPr>
            <w:tcW w:w="6362" w:type="dxa"/>
            <w:shd w:val="clear" w:color="auto" w:fill="auto"/>
          </w:tcPr>
          <w:p w14:paraId="3EF277B1" w14:textId="77777777" w:rsidR="00F9139F" w:rsidRPr="00884993" w:rsidRDefault="00F9139F" w:rsidP="00717EEC">
            <w:pPr>
              <w:rPr>
                <w:sz w:val="22"/>
                <w:szCs w:val="22"/>
              </w:rPr>
            </w:pPr>
            <w:r w:rsidRPr="00884993">
              <w:rPr>
                <w:sz w:val="22"/>
                <w:szCs w:val="22"/>
              </w:rPr>
              <w:t>Full assessment of response at weeks 12 and 24, with treatment withdrawal if response is inadequate (reduction in DAS28&lt;1.2 or overall DAS28&gt;3.2). If response to treatment is not maintained, a repeat assessment should occur (refer to BSR/NICE guidance regarding adequate response).</w:t>
            </w:r>
          </w:p>
        </w:tc>
      </w:tr>
      <w:tr w:rsidR="00F9139F" w:rsidRPr="00884993" w14:paraId="63C90058" w14:textId="77777777" w:rsidTr="00717EEC">
        <w:tc>
          <w:tcPr>
            <w:tcW w:w="4064" w:type="dxa"/>
            <w:tcBorders>
              <w:bottom w:val="single" w:sz="4" w:space="0" w:color="auto"/>
            </w:tcBorders>
            <w:shd w:val="clear" w:color="auto" w:fill="CCFFFF"/>
          </w:tcPr>
          <w:p w14:paraId="05E65C42" w14:textId="77777777" w:rsidR="00F9139F" w:rsidRPr="00884993" w:rsidRDefault="00F9139F" w:rsidP="00717EEC">
            <w:pPr>
              <w:rPr>
                <w:sz w:val="22"/>
                <w:szCs w:val="22"/>
              </w:rPr>
            </w:pPr>
            <w:r w:rsidRPr="00884993">
              <w:rPr>
                <w:sz w:val="22"/>
                <w:szCs w:val="22"/>
              </w:rPr>
              <w:t>Baseline Tests:</w:t>
            </w:r>
          </w:p>
        </w:tc>
        <w:tc>
          <w:tcPr>
            <w:tcW w:w="6362" w:type="dxa"/>
            <w:shd w:val="clear" w:color="auto" w:fill="auto"/>
          </w:tcPr>
          <w:p w14:paraId="716DF729"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Full clinical/infection screen</w:t>
            </w:r>
          </w:p>
          <w:p w14:paraId="22AFE006"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Urinalysis &amp; BP</w:t>
            </w:r>
          </w:p>
          <w:p w14:paraId="50321108" w14:textId="77777777" w:rsidR="00F9139F" w:rsidRPr="00884993" w:rsidRDefault="00F9139F" w:rsidP="00F9139F">
            <w:pPr>
              <w:numPr>
                <w:ilvl w:val="0"/>
                <w:numId w:val="16"/>
              </w:numPr>
              <w:overflowPunct/>
              <w:autoSpaceDE/>
              <w:autoSpaceDN/>
              <w:adjustRightInd/>
              <w:textAlignment w:val="auto"/>
              <w:rPr>
                <w:sz w:val="22"/>
                <w:szCs w:val="22"/>
                <w:lang w:val="sv-SE"/>
              </w:rPr>
            </w:pPr>
            <w:r w:rsidRPr="00884993">
              <w:rPr>
                <w:sz w:val="22"/>
                <w:szCs w:val="22"/>
                <w:lang w:val="sv-SE"/>
              </w:rPr>
              <w:t>FBC/U&amp;E/LFT/ANA/DNA</w:t>
            </w:r>
          </w:p>
          <w:p w14:paraId="2BC44B5B"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CXR (evidence TB/fibrosis)</w:t>
            </w:r>
          </w:p>
          <w:p w14:paraId="248BA7AB"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Quantiferon or TB spot (as indicated)</w:t>
            </w:r>
          </w:p>
          <w:p w14:paraId="1CAC1B26"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Hepatitis B&amp;C + consider HIV</w:t>
            </w:r>
          </w:p>
          <w:p w14:paraId="119A33FC" w14:textId="77777777" w:rsidR="00F9139F" w:rsidRPr="00884993" w:rsidRDefault="00F9139F" w:rsidP="00F9139F">
            <w:pPr>
              <w:numPr>
                <w:ilvl w:val="0"/>
                <w:numId w:val="16"/>
              </w:numPr>
              <w:rPr>
                <w:sz w:val="22"/>
                <w:szCs w:val="22"/>
              </w:rPr>
            </w:pPr>
            <w:r w:rsidRPr="00884993">
              <w:rPr>
                <w:sz w:val="22"/>
                <w:szCs w:val="22"/>
              </w:rPr>
              <w:t>Pregnancy test if indicated</w:t>
            </w:r>
          </w:p>
        </w:tc>
      </w:tr>
      <w:tr w:rsidR="00F9139F" w:rsidRPr="00884993" w14:paraId="5CBE9800" w14:textId="77777777" w:rsidTr="00717EEC">
        <w:tc>
          <w:tcPr>
            <w:tcW w:w="4064" w:type="dxa"/>
            <w:shd w:val="clear" w:color="auto" w:fill="CCFFFF"/>
          </w:tcPr>
          <w:p w14:paraId="311F19D8" w14:textId="77777777" w:rsidR="00F9139F" w:rsidRPr="00884993" w:rsidRDefault="00F9139F" w:rsidP="00717EEC">
            <w:pPr>
              <w:rPr>
                <w:sz w:val="22"/>
                <w:szCs w:val="22"/>
              </w:rPr>
            </w:pPr>
            <w:r w:rsidRPr="00884993">
              <w:rPr>
                <w:sz w:val="22"/>
                <w:szCs w:val="22"/>
              </w:rPr>
              <w:t>Routine Monitoring:</w:t>
            </w:r>
          </w:p>
        </w:tc>
        <w:tc>
          <w:tcPr>
            <w:tcW w:w="6362" w:type="dxa"/>
            <w:shd w:val="clear" w:color="auto" w:fill="auto"/>
          </w:tcPr>
          <w:p w14:paraId="12B2CA6D" w14:textId="77777777" w:rsidR="00F9139F" w:rsidRDefault="00F9139F" w:rsidP="00717EEC">
            <w:pPr>
              <w:rPr>
                <w:sz w:val="22"/>
                <w:szCs w:val="22"/>
              </w:rPr>
            </w:pPr>
            <w:r w:rsidRPr="00884993">
              <w:rPr>
                <w:sz w:val="22"/>
                <w:szCs w:val="22"/>
              </w:rPr>
              <w:t>Continue standard DMARD monitoring FBC/LFT/U&amp;E at 1, 3 and 6 mon</w:t>
            </w:r>
            <w:r>
              <w:rPr>
                <w:sz w:val="22"/>
                <w:szCs w:val="22"/>
              </w:rPr>
              <w:t>ths then 2</w:t>
            </w:r>
            <w:r w:rsidRPr="00884993">
              <w:rPr>
                <w:sz w:val="22"/>
                <w:szCs w:val="22"/>
              </w:rPr>
              <w:t xml:space="preserve"> monthly </w:t>
            </w:r>
            <w:r>
              <w:rPr>
                <w:sz w:val="22"/>
                <w:szCs w:val="22"/>
              </w:rPr>
              <w:t xml:space="preserve">before each infusion </w:t>
            </w:r>
            <w:r w:rsidRPr="00884993">
              <w:rPr>
                <w:sz w:val="22"/>
                <w:szCs w:val="22"/>
              </w:rPr>
              <w:t>+ Urinalysis before each infusion</w:t>
            </w:r>
          </w:p>
          <w:p w14:paraId="112F4033" w14:textId="63643DCF" w:rsidR="00996F7B" w:rsidRPr="00884993" w:rsidRDefault="00996F7B" w:rsidP="00717EEC">
            <w:pPr>
              <w:rPr>
                <w:sz w:val="22"/>
                <w:szCs w:val="22"/>
              </w:rPr>
            </w:pPr>
            <w:r>
              <w:rPr>
                <w:sz w:val="22"/>
                <w:szCs w:val="22"/>
              </w:rPr>
              <w:lastRenderedPageBreak/>
              <w:t>Consider measuring drug levels especially if evidence of secondary non response</w:t>
            </w:r>
          </w:p>
        </w:tc>
      </w:tr>
      <w:tr w:rsidR="00F9139F" w:rsidRPr="00884993" w14:paraId="20CAFF7D" w14:textId="77777777" w:rsidTr="00717EEC">
        <w:tc>
          <w:tcPr>
            <w:tcW w:w="4064" w:type="dxa"/>
            <w:shd w:val="clear" w:color="auto" w:fill="CCFFFF"/>
          </w:tcPr>
          <w:p w14:paraId="16DA300A" w14:textId="77777777" w:rsidR="00F9139F" w:rsidRPr="00884993" w:rsidRDefault="00F9139F" w:rsidP="00717EEC">
            <w:pPr>
              <w:rPr>
                <w:sz w:val="22"/>
                <w:szCs w:val="22"/>
              </w:rPr>
            </w:pPr>
            <w:r w:rsidRPr="00884993">
              <w:rPr>
                <w:sz w:val="22"/>
                <w:szCs w:val="22"/>
              </w:rPr>
              <w:lastRenderedPageBreak/>
              <w:t>Indications for Stopping Therapy:</w:t>
            </w:r>
          </w:p>
        </w:tc>
        <w:tc>
          <w:tcPr>
            <w:tcW w:w="6362" w:type="dxa"/>
            <w:shd w:val="clear" w:color="auto" w:fill="auto"/>
          </w:tcPr>
          <w:p w14:paraId="4B71A2A9" w14:textId="77777777" w:rsidR="00F9139F" w:rsidRPr="00884993" w:rsidRDefault="00F9139F" w:rsidP="00717EEC">
            <w:pPr>
              <w:rPr>
                <w:sz w:val="22"/>
                <w:szCs w:val="22"/>
              </w:rPr>
            </w:pPr>
            <w:r w:rsidRPr="00884993">
              <w:rPr>
                <w:b/>
                <w:sz w:val="22"/>
                <w:szCs w:val="22"/>
              </w:rPr>
              <w:t>Stop if:</w:t>
            </w:r>
            <w:r w:rsidRPr="00884993">
              <w:rPr>
                <w:sz w:val="22"/>
                <w:szCs w:val="22"/>
              </w:rPr>
              <w:t xml:space="preserve"> </w:t>
            </w:r>
          </w:p>
          <w:p w14:paraId="6179FB9E" w14:textId="77777777" w:rsidR="00F9139F" w:rsidRPr="00884993" w:rsidRDefault="00F9139F" w:rsidP="00717EEC">
            <w:pPr>
              <w:rPr>
                <w:sz w:val="22"/>
                <w:szCs w:val="22"/>
              </w:rPr>
            </w:pPr>
            <w:r w:rsidRPr="00884993">
              <w:rPr>
                <w:sz w:val="22"/>
                <w:szCs w:val="22"/>
              </w:rPr>
              <w:t xml:space="preserve">●Evidence of infection </w:t>
            </w:r>
          </w:p>
          <w:p w14:paraId="1FB6CE84" w14:textId="77777777" w:rsidR="00F9139F" w:rsidRPr="00884993" w:rsidRDefault="00F9139F" w:rsidP="00717EEC">
            <w:pPr>
              <w:rPr>
                <w:sz w:val="22"/>
                <w:szCs w:val="22"/>
              </w:rPr>
            </w:pPr>
            <w:r w:rsidRPr="00884993">
              <w:rPr>
                <w:sz w:val="22"/>
                <w:szCs w:val="22"/>
              </w:rPr>
              <w:t>●</w:t>
            </w:r>
            <w:r>
              <w:rPr>
                <w:sz w:val="22"/>
                <w:szCs w:val="22"/>
              </w:rPr>
              <w:t>Possible</w:t>
            </w:r>
            <w:r w:rsidRPr="00884993">
              <w:rPr>
                <w:sz w:val="22"/>
                <w:szCs w:val="22"/>
              </w:rPr>
              <w:t xml:space="preserve"> demyelination </w:t>
            </w:r>
          </w:p>
          <w:p w14:paraId="431D69EE" w14:textId="77777777" w:rsidR="00F9139F" w:rsidRPr="00884993" w:rsidRDefault="00F9139F" w:rsidP="00717EEC">
            <w:pPr>
              <w:rPr>
                <w:sz w:val="22"/>
                <w:szCs w:val="22"/>
              </w:rPr>
            </w:pPr>
            <w:r w:rsidRPr="00884993">
              <w:rPr>
                <w:sz w:val="22"/>
                <w:szCs w:val="22"/>
              </w:rPr>
              <w:t xml:space="preserve">●SLE or other autoimmune syndrome </w:t>
            </w:r>
          </w:p>
          <w:p w14:paraId="5A75B058" w14:textId="77777777" w:rsidR="00F9139F" w:rsidRPr="00884993" w:rsidRDefault="00F9139F" w:rsidP="00717EEC">
            <w:pPr>
              <w:rPr>
                <w:sz w:val="22"/>
                <w:szCs w:val="22"/>
              </w:rPr>
            </w:pPr>
            <w:r w:rsidRPr="00884993">
              <w:rPr>
                <w:sz w:val="22"/>
                <w:szCs w:val="22"/>
              </w:rPr>
              <w:t xml:space="preserve">●Severe injection site reaction (If minor reaction try oral anti-histamine or topical corticosteroids) </w:t>
            </w:r>
          </w:p>
          <w:p w14:paraId="6FFAF47C" w14:textId="77777777" w:rsidR="00F9139F" w:rsidRPr="00884993" w:rsidRDefault="00F9139F" w:rsidP="00717EEC">
            <w:pPr>
              <w:rPr>
                <w:sz w:val="22"/>
                <w:szCs w:val="22"/>
              </w:rPr>
            </w:pPr>
            <w:r w:rsidRPr="00884993">
              <w:rPr>
                <w:sz w:val="22"/>
                <w:szCs w:val="22"/>
              </w:rPr>
              <w:t>WCC           &lt;3.5 10</w:t>
            </w:r>
            <w:r w:rsidRPr="00884993">
              <w:rPr>
                <w:sz w:val="22"/>
                <w:szCs w:val="22"/>
                <w:vertAlign w:val="superscript"/>
              </w:rPr>
              <w:t>9/</w:t>
            </w:r>
            <w:r w:rsidRPr="00884993">
              <w:rPr>
                <w:sz w:val="22"/>
                <w:szCs w:val="22"/>
              </w:rPr>
              <w:t>L or below local normal range</w:t>
            </w:r>
          </w:p>
          <w:p w14:paraId="0982350F" w14:textId="77777777" w:rsidR="00F9139F" w:rsidRPr="00884993" w:rsidRDefault="00F9139F" w:rsidP="00717EEC">
            <w:pPr>
              <w:rPr>
                <w:sz w:val="22"/>
                <w:szCs w:val="22"/>
              </w:rPr>
            </w:pPr>
            <w:r w:rsidRPr="00884993">
              <w:rPr>
                <w:sz w:val="22"/>
                <w:szCs w:val="22"/>
              </w:rPr>
              <w:t>Neutrophils &lt; 2.0 10</w:t>
            </w:r>
            <w:r w:rsidRPr="00884993">
              <w:rPr>
                <w:sz w:val="22"/>
                <w:szCs w:val="22"/>
                <w:vertAlign w:val="superscript"/>
              </w:rPr>
              <w:t>9/</w:t>
            </w:r>
            <w:r w:rsidRPr="00884993">
              <w:rPr>
                <w:sz w:val="22"/>
                <w:szCs w:val="22"/>
              </w:rPr>
              <w:t>L or below local normal range</w:t>
            </w:r>
          </w:p>
          <w:p w14:paraId="633A253D" w14:textId="77777777" w:rsidR="00F9139F" w:rsidRPr="00884993" w:rsidRDefault="00F9139F" w:rsidP="00717EEC">
            <w:pPr>
              <w:rPr>
                <w:sz w:val="22"/>
                <w:szCs w:val="22"/>
              </w:rPr>
            </w:pPr>
            <w:r w:rsidRPr="00884993">
              <w:rPr>
                <w:sz w:val="22"/>
                <w:szCs w:val="22"/>
              </w:rPr>
              <w:t>Platelets      &lt;150 10</w:t>
            </w:r>
            <w:r w:rsidRPr="00884993">
              <w:rPr>
                <w:sz w:val="22"/>
                <w:szCs w:val="22"/>
                <w:vertAlign w:val="superscript"/>
              </w:rPr>
              <w:t>9/</w:t>
            </w:r>
            <w:r w:rsidRPr="00884993">
              <w:rPr>
                <w:sz w:val="22"/>
                <w:szCs w:val="22"/>
              </w:rPr>
              <w:t>L or below local normal range</w:t>
            </w:r>
          </w:p>
          <w:p w14:paraId="48B3761E" w14:textId="77777777" w:rsidR="00F9139F" w:rsidRPr="00884993" w:rsidRDefault="00F9139F" w:rsidP="00717EEC">
            <w:pPr>
              <w:rPr>
                <w:sz w:val="22"/>
                <w:szCs w:val="22"/>
              </w:rPr>
            </w:pPr>
            <w:r w:rsidRPr="00884993">
              <w:rPr>
                <w:sz w:val="22"/>
                <w:szCs w:val="22"/>
              </w:rPr>
              <w:t xml:space="preserve">AST or ALT &gt; 3 times normal range (iu/L) </w:t>
            </w:r>
          </w:p>
          <w:p w14:paraId="27C73863" w14:textId="77777777" w:rsidR="00F9139F" w:rsidRPr="00884993" w:rsidRDefault="00F9139F" w:rsidP="00717EEC">
            <w:pPr>
              <w:rPr>
                <w:sz w:val="22"/>
                <w:szCs w:val="22"/>
              </w:rPr>
            </w:pPr>
            <w:r w:rsidRPr="00884993">
              <w:rPr>
                <w:b/>
                <w:sz w:val="22"/>
                <w:szCs w:val="22"/>
              </w:rPr>
              <w:t>CONTACT THE RHEUMATOLOGY SERVICE</w:t>
            </w:r>
          </w:p>
        </w:tc>
      </w:tr>
      <w:tr w:rsidR="00F9139F" w:rsidRPr="00884993" w14:paraId="40F08C1E" w14:textId="77777777" w:rsidTr="00717EEC">
        <w:tc>
          <w:tcPr>
            <w:tcW w:w="10426" w:type="dxa"/>
            <w:gridSpan w:val="2"/>
            <w:shd w:val="clear" w:color="auto" w:fill="auto"/>
          </w:tcPr>
          <w:p w14:paraId="26B829DD" w14:textId="77777777" w:rsidR="00F9139F" w:rsidRPr="00884993" w:rsidRDefault="00F9139F" w:rsidP="00717EEC">
            <w:pPr>
              <w:rPr>
                <w:sz w:val="22"/>
                <w:szCs w:val="22"/>
              </w:rPr>
            </w:pPr>
            <w:r w:rsidRPr="00884993">
              <w:rPr>
                <w:sz w:val="22"/>
                <w:szCs w:val="22"/>
              </w:rPr>
              <w:t>Please refer to licensed datasheet for more comprehensive prescribing information:</w:t>
            </w:r>
          </w:p>
          <w:p w14:paraId="022AD9C2" w14:textId="77777777" w:rsidR="00F9139F" w:rsidRPr="00884993" w:rsidRDefault="00323D19" w:rsidP="00717EEC">
            <w:pPr>
              <w:rPr>
                <w:sz w:val="22"/>
                <w:szCs w:val="22"/>
              </w:rPr>
            </w:pPr>
            <w:hyperlink r:id="rId90" w:history="1">
              <w:r w:rsidR="00F9139F" w:rsidRPr="00884993">
                <w:rPr>
                  <w:rStyle w:val="Hyperlink"/>
                  <w:sz w:val="22"/>
                  <w:szCs w:val="22"/>
                </w:rPr>
                <w:t>http://www.medicines.org.uk/EMC/medicine/3236/SPC/Remicade+100mg+powder+for+concentrate+for+solution+for+infusion/</w:t>
              </w:r>
            </w:hyperlink>
          </w:p>
        </w:tc>
      </w:tr>
    </w:tbl>
    <w:p w14:paraId="267513A9" w14:textId="77777777" w:rsidR="00F9139F" w:rsidRPr="00F9139F" w:rsidRDefault="00F9139F" w:rsidP="00F9139F">
      <w:pPr>
        <w:rPr>
          <w:rFonts w:eastAsia="Arial Unicode MS"/>
        </w:rPr>
      </w:pPr>
    </w:p>
    <w:p w14:paraId="0B6E7805" w14:textId="77777777" w:rsidR="00F9139F" w:rsidRDefault="00F9139F">
      <w:pPr>
        <w:overflowPunct/>
        <w:autoSpaceDE/>
        <w:autoSpaceDN/>
        <w:adjustRightInd/>
        <w:spacing w:after="160" w:line="259" w:lineRule="auto"/>
        <w:textAlignment w:val="auto"/>
        <w:rPr>
          <w:rFonts w:eastAsiaTheme="majorEastAsia" w:cstheme="majorBidi"/>
          <w:b/>
          <w:sz w:val="26"/>
          <w:szCs w:val="26"/>
        </w:rPr>
      </w:pPr>
      <w:r>
        <w:br w:type="page"/>
      </w:r>
    </w:p>
    <w:p w14:paraId="16D24C61" w14:textId="11829D9B" w:rsidR="00B139C2" w:rsidRPr="00FB0308" w:rsidRDefault="00CF234C" w:rsidP="00FB0308">
      <w:pPr>
        <w:pStyle w:val="Heading2"/>
        <w:rPr>
          <w:rFonts w:eastAsia="Arial Unicode MS"/>
        </w:rPr>
      </w:pPr>
      <w:bookmarkStart w:id="29" w:name="_Toc531873941"/>
      <w:r w:rsidRPr="005955CF">
        <w:lastRenderedPageBreak/>
        <w:t>Rituximab (Mabthera®)</w:t>
      </w:r>
      <w:bookmarkEnd w:id="29"/>
      <w:r w:rsidRPr="005955CF">
        <w:t xml:space="preserve"> </w:t>
      </w:r>
    </w:p>
    <w:p w14:paraId="79F2CCA1" w14:textId="103CDA63" w:rsidR="00F9139F" w:rsidRDefault="00F9139F" w:rsidP="00F9139F"/>
    <w:tbl>
      <w:tblPr>
        <w:tblW w:w="786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6155"/>
      </w:tblGrid>
      <w:tr w:rsidR="00F9139F" w:rsidRPr="00E204BC" w14:paraId="78A2FA73" w14:textId="77777777" w:rsidTr="00717EEC">
        <w:trPr>
          <w:trHeight w:val="689"/>
        </w:trPr>
        <w:tc>
          <w:tcPr>
            <w:tcW w:w="3014" w:type="dxa"/>
            <w:shd w:val="clear" w:color="auto" w:fill="CCFFFF"/>
          </w:tcPr>
          <w:p w14:paraId="4ED73B67" w14:textId="77777777" w:rsidR="00F9139F" w:rsidRPr="00884993" w:rsidRDefault="00F9139F" w:rsidP="00717EEC">
            <w:pPr>
              <w:rPr>
                <w:sz w:val="22"/>
                <w:szCs w:val="22"/>
              </w:rPr>
            </w:pPr>
            <w:r w:rsidRPr="00884993">
              <w:rPr>
                <w:sz w:val="22"/>
                <w:szCs w:val="22"/>
              </w:rPr>
              <w:t>Therapeutic class:</w:t>
            </w:r>
          </w:p>
        </w:tc>
        <w:tc>
          <w:tcPr>
            <w:tcW w:w="4854" w:type="dxa"/>
            <w:shd w:val="clear" w:color="auto" w:fill="auto"/>
          </w:tcPr>
          <w:p w14:paraId="320EB0D7" w14:textId="77777777" w:rsidR="00F9139F" w:rsidRPr="00884993" w:rsidRDefault="00F9139F" w:rsidP="00717EEC">
            <w:pPr>
              <w:rPr>
                <w:sz w:val="22"/>
                <w:szCs w:val="22"/>
              </w:rPr>
            </w:pPr>
            <w:r w:rsidRPr="00884993">
              <w:rPr>
                <w:sz w:val="22"/>
                <w:szCs w:val="22"/>
              </w:rPr>
              <w:t xml:space="preserve">Rituximab - chimeric mouse/human monoclonal antibody, binds to transmembrane antigen CD20 resulting in B cell lysis </w:t>
            </w:r>
          </w:p>
        </w:tc>
      </w:tr>
      <w:tr w:rsidR="00F9139F" w:rsidRPr="00E204BC" w14:paraId="6029F626" w14:textId="77777777" w:rsidTr="00717EEC">
        <w:trPr>
          <w:trHeight w:val="3761"/>
        </w:trPr>
        <w:tc>
          <w:tcPr>
            <w:tcW w:w="3014" w:type="dxa"/>
            <w:shd w:val="clear" w:color="auto" w:fill="CCFFFF"/>
          </w:tcPr>
          <w:p w14:paraId="1F6EFF85" w14:textId="77777777" w:rsidR="00F9139F" w:rsidRPr="00884993" w:rsidRDefault="00F9139F" w:rsidP="00717EEC">
            <w:pPr>
              <w:rPr>
                <w:sz w:val="22"/>
                <w:szCs w:val="22"/>
              </w:rPr>
            </w:pPr>
            <w:r w:rsidRPr="00884993">
              <w:rPr>
                <w:sz w:val="22"/>
                <w:szCs w:val="22"/>
              </w:rPr>
              <w:t>Licensed Indications:</w:t>
            </w:r>
          </w:p>
        </w:tc>
        <w:tc>
          <w:tcPr>
            <w:tcW w:w="4854" w:type="dxa"/>
            <w:shd w:val="clear" w:color="auto" w:fill="auto"/>
          </w:tcPr>
          <w:p w14:paraId="004D60F8" w14:textId="77777777" w:rsidR="00F9139F" w:rsidRPr="00884993" w:rsidRDefault="00F9139F" w:rsidP="00717EEC">
            <w:pPr>
              <w:rPr>
                <w:sz w:val="22"/>
                <w:szCs w:val="22"/>
              </w:rPr>
            </w:pPr>
            <w:r w:rsidRPr="00884993">
              <w:rPr>
                <w:b/>
                <w:sz w:val="22"/>
                <w:szCs w:val="22"/>
              </w:rPr>
              <w:t>RA</w:t>
            </w:r>
            <w:r w:rsidRPr="00884993">
              <w:rPr>
                <w:sz w:val="22"/>
                <w:szCs w:val="22"/>
              </w:rPr>
              <w:t xml:space="preserve"> - (with methotrexate) adult patients with severe active RA who have had an inadequate response or intolerance to other DMARD’s, including one or more tumour necrosis factor (TNF) inhibitor therapies.(*Used off license as monotherapy or in combination with an alternative DMARD or without prior treatment with a TNF inhibitor for RA)</w:t>
            </w:r>
          </w:p>
          <w:p w14:paraId="338DC0CB" w14:textId="77777777" w:rsidR="00F9139F" w:rsidRPr="00884993" w:rsidRDefault="00F9139F" w:rsidP="00717EEC">
            <w:pPr>
              <w:rPr>
                <w:sz w:val="22"/>
                <w:szCs w:val="22"/>
              </w:rPr>
            </w:pPr>
            <w:r w:rsidRPr="00884993">
              <w:rPr>
                <w:b/>
                <w:sz w:val="22"/>
                <w:szCs w:val="22"/>
              </w:rPr>
              <w:t xml:space="preserve">CTD </w:t>
            </w:r>
            <w:r w:rsidRPr="00884993">
              <w:rPr>
                <w:sz w:val="22"/>
                <w:szCs w:val="22"/>
              </w:rPr>
              <w:t>- used for a number of autoimmune disorders including SLE, Vasculitis, Antiphospholipid Syndrome, Mysositis and Scleritis. (Holds a licence for Granulomatosis with polyangiitis (GPA) and Microscopic polyangiitis (MPA).  If used in CTD consider the need for oral steroids between the first and second infusion e.g. prednisolone 30mg od 2 weeks. Patients receiving Rituximab under NHS Clinical Commissioning Policies should be enrolled in a regional or national database.</w:t>
            </w:r>
          </w:p>
        </w:tc>
      </w:tr>
      <w:tr w:rsidR="00F9139F" w:rsidRPr="00E204BC" w14:paraId="58A8F8FE" w14:textId="77777777" w:rsidTr="00717EEC">
        <w:trPr>
          <w:trHeight w:val="5482"/>
        </w:trPr>
        <w:tc>
          <w:tcPr>
            <w:tcW w:w="3014" w:type="dxa"/>
            <w:shd w:val="clear" w:color="auto" w:fill="CCFFFF"/>
          </w:tcPr>
          <w:p w14:paraId="44D50631" w14:textId="77777777" w:rsidR="00F9139F" w:rsidRPr="00884993" w:rsidRDefault="00F9139F" w:rsidP="00717EEC">
            <w:pPr>
              <w:rPr>
                <w:sz w:val="22"/>
                <w:szCs w:val="22"/>
              </w:rPr>
            </w:pPr>
            <w:r w:rsidRPr="00884993">
              <w:rPr>
                <w:sz w:val="22"/>
                <w:szCs w:val="22"/>
              </w:rPr>
              <w:t>Licensed Dose:</w:t>
            </w:r>
          </w:p>
        </w:tc>
        <w:tc>
          <w:tcPr>
            <w:tcW w:w="4854" w:type="dxa"/>
            <w:shd w:val="clear" w:color="auto" w:fill="auto"/>
          </w:tcPr>
          <w:p w14:paraId="3B5B5F57" w14:textId="77777777" w:rsidR="00F9139F" w:rsidRPr="00884993" w:rsidRDefault="00F9139F" w:rsidP="00717EEC">
            <w:pPr>
              <w:rPr>
                <w:sz w:val="22"/>
                <w:szCs w:val="22"/>
              </w:rPr>
            </w:pPr>
            <w:r w:rsidRPr="00884993">
              <w:rPr>
                <w:b/>
                <w:sz w:val="22"/>
                <w:szCs w:val="22"/>
              </w:rPr>
              <w:t>RA</w:t>
            </w:r>
            <w:r w:rsidRPr="00884993">
              <w:rPr>
                <w:sz w:val="22"/>
                <w:szCs w:val="22"/>
              </w:rPr>
              <w:t xml:space="preserve"> - 1g iv infusion followed by a second 1g iv infusion two weeks later. Pre-treatment with methylprednisolone 100mg 30 minutes prior to infusion plus paracetamol and an anti-histamine recommended (*also a reduce dosage regime - two doses of 500mg two weeks apart in patients who have received repeated cycles and have achieved adequate clinical response and B cell depletion).</w:t>
            </w:r>
          </w:p>
          <w:p w14:paraId="3B6568C5" w14:textId="77777777" w:rsidR="00F9139F" w:rsidRPr="00884993" w:rsidRDefault="00F9139F" w:rsidP="00717EEC">
            <w:pPr>
              <w:rPr>
                <w:sz w:val="22"/>
                <w:szCs w:val="22"/>
              </w:rPr>
            </w:pPr>
            <w:r w:rsidRPr="00884993">
              <w:rPr>
                <w:b/>
                <w:sz w:val="22"/>
                <w:szCs w:val="22"/>
              </w:rPr>
              <w:t>GPA and MPA</w:t>
            </w:r>
            <w:r w:rsidRPr="00884993">
              <w:rPr>
                <w:sz w:val="22"/>
                <w:szCs w:val="22"/>
              </w:rPr>
              <w:t xml:space="preserve"> - 375 mg/m2 body surface area, once weekly iv infusion for 4 weeks (four infusions in total – though some specialists use the RA protocol).  IV Methylprednisolone for 1 to 3 days at a dose of 1000 mg per day is recommended prior to the first infusion of rituximab. This should be followed by oral prednisone 1 mg/kg/day (not to exceed 80mg/day, and tapered as rapidly as possible based on clinical need) during and after rituximab treatment. (*PCP prophylaxis is recommended for patients with GPA or MPA). RA dosing has also been widely used to treat AAV and CTD’s.</w:t>
            </w:r>
          </w:p>
          <w:p w14:paraId="3C711114" w14:textId="77777777" w:rsidR="00F9139F" w:rsidRPr="00884993" w:rsidRDefault="00F9139F" w:rsidP="00717EEC">
            <w:pPr>
              <w:rPr>
                <w:sz w:val="22"/>
                <w:szCs w:val="22"/>
              </w:rPr>
            </w:pPr>
            <w:r w:rsidRPr="00884993">
              <w:rPr>
                <w:b/>
                <w:sz w:val="22"/>
                <w:szCs w:val="22"/>
              </w:rPr>
              <w:t>Repeat Dosing</w:t>
            </w:r>
            <w:r w:rsidRPr="00884993">
              <w:rPr>
                <w:sz w:val="22"/>
                <w:szCs w:val="22"/>
              </w:rPr>
              <w:t xml:space="preserve"> – Ususally this is done on the basis of clinical relapse in RA and CTD, but in some areas has been at fixed 6 monthly cycles (notably in  AAV). RA non-responders (especially when non depleted) may respond to retreatment at 6 months.</w:t>
            </w:r>
          </w:p>
        </w:tc>
      </w:tr>
      <w:tr w:rsidR="00F9139F" w:rsidRPr="00E204BC" w14:paraId="29559EA5" w14:textId="77777777" w:rsidTr="00717EEC">
        <w:trPr>
          <w:trHeight w:val="1704"/>
        </w:trPr>
        <w:tc>
          <w:tcPr>
            <w:tcW w:w="3014" w:type="dxa"/>
            <w:shd w:val="clear" w:color="auto" w:fill="CCFFFF"/>
          </w:tcPr>
          <w:p w14:paraId="6565021C" w14:textId="77777777" w:rsidR="00F9139F" w:rsidRPr="00884993" w:rsidRDefault="00F9139F" w:rsidP="00717EEC">
            <w:pPr>
              <w:rPr>
                <w:sz w:val="22"/>
                <w:szCs w:val="22"/>
              </w:rPr>
            </w:pPr>
            <w:r w:rsidRPr="00884993">
              <w:rPr>
                <w:sz w:val="22"/>
                <w:szCs w:val="22"/>
              </w:rPr>
              <w:t>Infusion details:</w:t>
            </w:r>
          </w:p>
        </w:tc>
        <w:tc>
          <w:tcPr>
            <w:tcW w:w="4854" w:type="dxa"/>
            <w:shd w:val="clear" w:color="auto" w:fill="auto"/>
          </w:tcPr>
          <w:p w14:paraId="6F0EE434" w14:textId="77777777" w:rsidR="00F9139F" w:rsidRPr="00884993" w:rsidRDefault="00F9139F" w:rsidP="00717EEC">
            <w:pPr>
              <w:rPr>
                <w:sz w:val="22"/>
                <w:szCs w:val="22"/>
              </w:rPr>
            </w:pPr>
            <w:r w:rsidRPr="00884993">
              <w:rPr>
                <w:sz w:val="22"/>
                <w:szCs w:val="22"/>
              </w:rPr>
              <w:t>1g dose infused in 250ml 0.9% sodium chloride, 1st infusion start at 50mg/hr increasing at 50mg/hr increments every 30 minutes to a maximum of 400mg/hr, 2nd infusion initial rate 100mg/hr increasing at 100mg/hr increments every 30 minutes up to a maximum of 400mg/hr). Where RA patients have had no prior reactions an accelerated 2 hour infusional regimen can be employed (refer to current product SPC)</w:t>
            </w:r>
          </w:p>
        </w:tc>
      </w:tr>
      <w:tr w:rsidR="00F9139F" w:rsidRPr="00E204BC" w14:paraId="11012428" w14:textId="77777777" w:rsidTr="00717EEC">
        <w:trPr>
          <w:trHeight w:val="337"/>
        </w:trPr>
        <w:tc>
          <w:tcPr>
            <w:tcW w:w="3014" w:type="dxa"/>
            <w:shd w:val="clear" w:color="auto" w:fill="CCFFFF"/>
          </w:tcPr>
          <w:p w14:paraId="54B3EE3E" w14:textId="77777777" w:rsidR="00F9139F" w:rsidRPr="00884993" w:rsidRDefault="00F9139F" w:rsidP="00717EEC">
            <w:pPr>
              <w:rPr>
                <w:sz w:val="22"/>
                <w:szCs w:val="22"/>
              </w:rPr>
            </w:pPr>
            <w:r w:rsidRPr="00884993">
              <w:rPr>
                <w:sz w:val="22"/>
                <w:szCs w:val="22"/>
              </w:rPr>
              <w:t>NICE Guidance/NHS Commission:</w:t>
            </w:r>
          </w:p>
        </w:tc>
        <w:tc>
          <w:tcPr>
            <w:tcW w:w="4854" w:type="dxa"/>
            <w:shd w:val="clear" w:color="auto" w:fill="auto"/>
          </w:tcPr>
          <w:p w14:paraId="15C7933F" w14:textId="77777777" w:rsidR="00F9139F" w:rsidRDefault="00F9139F" w:rsidP="00717EEC">
            <w:pPr>
              <w:rPr>
                <w:rStyle w:val="Hyperlink"/>
                <w:kern w:val="24"/>
                <w:sz w:val="22"/>
                <w:szCs w:val="22"/>
                <w:lang w:eastAsia="en-GB"/>
              </w:rPr>
            </w:pPr>
            <w:r w:rsidRPr="00DC3508">
              <w:rPr>
                <w:rStyle w:val="Hyperlink"/>
                <w:color w:val="auto"/>
                <w:kern w:val="24"/>
                <w:sz w:val="22"/>
                <w:szCs w:val="22"/>
                <w:u w:val="none"/>
                <w:lang w:eastAsia="en-GB"/>
              </w:rPr>
              <w:t>RA:</w:t>
            </w:r>
            <w:r w:rsidRPr="00DC3508">
              <w:rPr>
                <w:rStyle w:val="Hyperlink"/>
                <w:color w:val="auto"/>
                <w:kern w:val="24"/>
                <w:sz w:val="22"/>
                <w:szCs w:val="22"/>
                <w:lang w:eastAsia="en-GB"/>
              </w:rPr>
              <w:t xml:space="preserve"> </w:t>
            </w:r>
            <w:hyperlink r:id="rId91" w:history="1">
              <w:r w:rsidRPr="001C116E">
                <w:rPr>
                  <w:rStyle w:val="Hyperlink"/>
                  <w:kern w:val="24"/>
                  <w:sz w:val="22"/>
                  <w:szCs w:val="22"/>
                  <w:lang w:eastAsia="en-GB"/>
                </w:rPr>
                <w:t>TA195</w:t>
              </w:r>
            </w:hyperlink>
          </w:p>
          <w:p w14:paraId="24689FBF" w14:textId="77777777" w:rsidR="00F9139F" w:rsidRDefault="00F9139F" w:rsidP="00717EEC">
            <w:pPr>
              <w:rPr>
                <w:sz w:val="22"/>
                <w:szCs w:val="22"/>
              </w:rPr>
            </w:pPr>
            <w:r w:rsidRPr="00DC3508">
              <w:rPr>
                <w:rStyle w:val="Hyperlink"/>
                <w:color w:val="auto"/>
                <w:kern w:val="24"/>
                <w:sz w:val="22"/>
                <w:szCs w:val="22"/>
                <w:u w:val="none"/>
                <w:lang w:eastAsia="en-GB"/>
              </w:rPr>
              <w:t xml:space="preserve">Vasculitis: </w:t>
            </w:r>
            <w:hyperlink r:id="rId92" w:history="1">
              <w:r w:rsidRPr="00DC3508">
                <w:rPr>
                  <w:rStyle w:val="Hyperlink"/>
                  <w:kern w:val="24"/>
                  <w:sz w:val="22"/>
                  <w:szCs w:val="22"/>
                  <w:lang w:eastAsia="en-GB"/>
                </w:rPr>
                <w:t>TA308</w:t>
              </w:r>
            </w:hyperlink>
          </w:p>
          <w:p w14:paraId="5CC51D47" w14:textId="77777777" w:rsidR="00F9139F" w:rsidRPr="00884993" w:rsidRDefault="00F9139F" w:rsidP="00717EEC">
            <w:pPr>
              <w:rPr>
                <w:sz w:val="22"/>
                <w:szCs w:val="22"/>
              </w:rPr>
            </w:pPr>
            <w:r>
              <w:rPr>
                <w:sz w:val="22"/>
                <w:szCs w:val="22"/>
              </w:rPr>
              <w:t xml:space="preserve">SLE: </w:t>
            </w:r>
            <w:hyperlink r:id="rId93" w:history="1">
              <w:r w:rsidRPr="00DC3508">
                <w:rPr>
                  <w:rStyle w:val="Hyperlink"/>
                  <w:sz w:val="22"/>
                  <w:szCs w:val="22"/>
                </w:rPr>
                <w:t>Clinical Commissioning Policy: Rituximab for the treatment of Systemic Lupus Erythematosus (SLE),</w:t>
              </w:r>
            </w:hyperlink>
            <w:r w:rsidRPr="00884993">
              <w:rPr>
                <w:sz w:val="22"/>
                <w:szCs w:val="22"/>
              </w:rPr>
              <w:t xml:space="preserve"> September 2013: NHS </w:t>
            </w:r>
            <w:r>
              <w:rPr>
                <w:sz w:val="22"/>
                <w:szCs w:val="22"/>
              </w:rPr>
              <w:t>England</w:t>
            </w:r>
          </w:p>
        </w:tc>
      </w:tr>
      <w:tr w:rsidR="00F9139F" w:rsidRPr="00E204BC" w14:paraId="1B5A5CBB" w14:textId="77777777" w:rsidTr="00717EEC">
        <w:trPr>
          <w:trHeight w:val="1189"/>
        </w:trPr>
        <w:tc>
          <w:tcPr>
            <w:tcW w:w="3014" w:type="dxa"/>
            <w:shd w:val="clear" w:color="auto" w:fill="CCFFFF"/>
          </w:tcPr>
          <w:p w14:paraId="73D4D391" w14:textId="77777777" w:rsidR="00F9139F" w:rsidRPr="00884993" w:rsidRDefault="00F9139F" w:rsidP="00717EEC">
            <w:pPr>
              <w:rPr>
                <w:sz w:val="22"/>
                <w:szCs w:val="22"/>
              </w:rPr>
            </w:pPr>
            <w:r w:rsidRPr="00884993">
              <w:rPr>
                <w:sz w:val="22"/>
                <w:szCs w:val="22"/>
              </w:rPr>
              <w:lastRenderedPageBreak/>
              <w:t>Warnings/Contra-indications/Significant drug interactions: (</w:t>
            </w:r>
            <w:r w:rsidRPr="00884993">
              <w:rPr>
                <w:rFonts w:cs="Arial"/>
                <w:sz w:val="22"/>
                <w:szCs w:val="22"/>
              </w:rPr>
              <w:t>*Refer to licensed datasheet for special warnings)</w:t>
            </w:r>
          </w:p>
        </w:tc>
        <w:tc>
          <w:tcPr>
            <w:tcW w:w="4854" w:type="dxa"/>
            <w:shd w:val="clear" w:color="auto" w:fill="auto"/>
          </w:tcPr>
          <w:p w14:paraId="46C554FE" w14:textId="77777777" w:rsidR="00F9139F" w:rsidRPr="00884993" w:rsidRDefault="00F9139F" w:rsidP="00717EEC">
            <w:pPr>
              <w:pStyle w:val="NormalWeb"/>
              <w:rPr>
                <w:sz w:val="22"/>
                <w:szCs w:val="22"/>
              </w:rPr>
            </w:pPr>
            <w:r w:rsidRPr="00884993">
              <w:rPr>
                <w:sz w:val="22"/>
                <w:szCs w:val="22"/>
              </w:rPr>
              <w:t>●Hypersensitivity to the active substance/excipients (incl. murine proteins) ●Severe heart failure (NYHA IV) or severe, uncontrolled cardiac disease ●Active, severe infecti</w:t>
            </w:r>
            <w:r>
              <w:rPr>
                <w:sz w:val="22"/>
                <w:szCs w:val="22"/>
              </w:rPr>
              <w:t>ons●Severely immunocompromised</w:t>
            </w:r>
          </w:p>
        </w:tc>
      </w:tr>
      <w:tr w:rsidR="00F9139F" w:rsidRPr="00E204BC" w14:paraId="25B65B34" w14:textId="77777777" w:rsidTr="00717EEC">
        <w:trPr>
          <w:trHeight w:val="1704"/>
        </w:trPr>
        <w:tc>
          <w:tcPr>
            <w:tcW w:w="3014" w:type="dxa"/>
            <w:shd w:val="clear" w:color="auto" w:fill="CCFFFF"/>
          </w:tcPr>
          <w:p w14:paraId="74A43E35" w14:textId="77777777" w:rsidR="00F9139F" w:rsidRPr="00884993" w:rsidRDefault="00F9139F" w:rsidP="00717EEC">
            <w:pPr>
              <w:rPr>
                <w:sz w:val="22"/>
                <w:szCs w:val="22"/>
              </w:rPr>
            </w:pPr>
            <w:r w:rsidRPr="00884993">
              <w:rPr>
                <w:sz w:val="22"/>
                <w:szCs w:val="22"/>
              </w:rPr>
              <w:t>Assessment of Response:</w:t>
            </w:r>
          </w:p>
        </w:tc>
        <w:tc>
          <w:tcPr>
            <w:tcW w:w="4854" w:type="dxa"/>
            <w:shd w:val="clear" w:color="auto" w:fill="auto"/>
          </w:tcPr>
          <w:p w14:paraId="5BF37402" w14:textId="77777777" w:rsidR="00F9139F" w:rsidRPr="00884993" w:rsidRDefault="00F9139F" w:rsidP="00717EEC">
            <w:pPr>
              <w:rPr>
                <w:sz w:val="22"/>
                <w:szCs w:val="22"/>
              </w:rPr>
            </w:pPr>
            <w:r w:rsidRPr="00884993">
              <w:rPr>
                <w:sz w:val="22"/>
                <w:szCs w:val="22"/>
              </w:rPr>
              <w:t>Review 16-20 weeks after each cycle. Not all patients achieve adequate B cell depletion after the first cycle. (Inadequate depletion after cycle 1 = consider a repeat cycle at 6 months). Leeds HMDS B cell subsets at day 15 predict response in RA and at 6 weeks in SLE. Equally subsets at 6 months can help predict relapse in SLE and AAV.</w:t>
            </w:r>
          </w:p>
        </w:tc>
      </w:tr>
      <w:tr w:rsidR="00F9139F" w:rsidRPr="00E204BC" w14:paraId="7C89C2B1" w14:textId="77777777" w:rsidTr="00717EEC">
        <w:trPr>
          <w:trHeight w:val="2056"/>
        </w:trPr>
        <w:tc>
          <w:tcPr>
            <w:tcW w:w="3014" w:type="dxa"/>
            <w:shd w:val="clear" w:color="auto" w:fill="CCFFFF"/>
          </w:tcPr>
          <w:p w14:paraId="5FD591A3" w14:textId="77777777" w:rsidR="00F9139F" w:rsidRPr="00884993" w:rsidRDefault="00F9139F" w:rsidP="00717EEC">
            <w:pPr>
              <w:rPr>
                <w:sz w:val="22"/>
                <w:szCs w:val="22"/>
              </w:rPr>
            </w:pPr>
            <w:r w:rsidRPr="00884993">
              <w:rPr>
                <w:sz w:val="22"/>
                <w:szCs w:val="22"/>
              </w:rPr>
              <w:t>Baseline Tests:</w:t>
            </w:r>
          </w:p>
        </w:tc>
        <w:tc>
          <w:tcPr>
            <w:tcW w:w="4854" w:type="dxa"/>
            <w:shd w:val="clear" w:color="auto" w:fill="auto"/>
          </w:tcPr>
          <w:p w14:paraId="1F40F973" w14:textId="77777777" w:rsidR="00F9139F" w:rsidRPr="00884993" w:rsidRDefault="00F9139F" w:rsidP="00717EEC">
            <w:pPr>
              <w:overflowPunct/>
              <w:autoSpaceDE/>
              <w:autoSpaceDN/>
              <w:adjustRightInd/>
              <w:textAlignment w:val="auto"/>
              <w:rPr>
                <w:sz w:val="22"/>
                <w:szCs w:val="22"/>
              </w:rPr>
            </w:pPr>
            <w:r w:rsidRPr="00884993">
              <w:rPr>
                <w:sz w:val="22"/>
                <w:szCs w:val="22"/>
              </w:rPr>
              <w:t>Full clinical/infection screen - CXR, urinalysis, hepatitis B&amp;C, consider HIV and TB screening.</w:t>
            </w:r>
          </w:p>
          <w:p w14:paraId="1AAE8573" w14:textId="77777777" w:rsidR="00F9139F" w:rsidRPr="00884993" w:rsidRDefault="00F9139F" w:rsidP="00717EEC">
            <w:pPr>
              <w:overflowPunct/>
              <w:autoSpaceDE/>
              <w:autoSpaceDN/>
              <w:adjustRightInd/>
              <w:textAlignment w:val="auto"/>
              <w:rPr>
                <w:sz w:val="22"/>
                <w:szCs w:val="22"/>
                <w:lang w:val="sv-SE"/>
              </w:rPr>
            </w:pPr>
            <w:r w:rsidRPr="00884993">
              <w:rPr>
                <w:sz w:val="22"/>
                <w:szCs w:val="22"/>
                <w:lang w:val="sv-SE"/>
              </w:rPr>
              <w:t>FBC/U&amp;E/LFT</w:t>
            </w:r>
          </w:p>
          <w:p w14:paraId="344249FF" w14:textId="77777777" w:rsidR="00F9139F" w:rsidRPr="00884993" w:rsidRDefault="00F9139F" w:rsidP="00717EEC">
            <w:pPr>
              <w:overflowPunct/>
              <w:autoSpaceDE/>
              <w:autoSpaceDN/>
              <w:adjustRightInd/>
              <w:textAlignment w:val="auto"/>
              <w:rPr>
                <w:sz w:val="22"/>
                <w:szCs w:val="22"/>
              </w:rPr>
            </w:pPr>
            <w:r w:rsidRPr="00884993">
              <w:rPr>
                <w:sz w:val="22"/>
                <w:szCs w:val="22"/>
              </w:rPr>
              <w:t>B Cell FACS analysis &amp; Immunoglobulins (when IgG &lt;6g/l increased risk of serious infections</w:t>
            </w:r>
          </w:p>
          <w:p w14:paraId="6E1D7E78" w14:textId="77777777" w:rsidR="00F9139F" w:rsidRPr="00884993" w:rsidRDefault="00F9139F" w:rsidP="00717EEC">
            <w:pPr>
              <w:rPr>
                <w:sz w:val="22"/>
                <w:szCs w:val="22"/>
              </w:rPr>
            </w:pPr>
            <w:r w:rsidRPr="00884993">
              <w:rPr>
                <w:sz w:val="22"/>
                <w:szCs w:val="22"/>
              </w:rPr>
              <w:t>Pregnancy test if indicated</w:t>
            </w:r>
          </w:p>
        </w:tc>
      </w:tr>
      <w:tr w:rsidR="00F9139F" w:rsidRPr="00E204BC" w14:paraId="46967950" w14:textId="77777777" w:rsidTr="00717EEC">
        <w:trPr>
          <w:trHeight w:val="1718"/>
        </w:trPr>
        <w:tc>
          <w:tcPr>
            <w:tcW w:w="3014" w:type="dxa"/>
            <w:shd w:val="clear" w:color="auto" w:fill="CCFFFF"/>
          </w:tcPr>
          <w:p w14:paraId="4BFEFF4E" w14:textId="77777777" w:rsidR="00F9139F" w:rsidRPr="00884993" w:rsidRDefault="00F9139F" w:rsidP="00717EEC">
            <w:pPr>
              <w:rPr>
                <w:sz w:val="22"/>
                <w:szCs w:val="22"/>
              </w:rPr>
            </w:pPr>
            <w:r w:rsidRPr="00884993">
              <w:rPr>
                <w:sz w:val="22"/>
                <w:szCs w:val="22"/>
              </w:rPr>
              <w:t>Routine Monitoring:</w:t>
            </w:r>
          </w:p>
        </w:tc>
        <w:tc>
          <w:tcPr>
            <w:tcW w:w="4854" w:type="dxa"/>
            <w:shd w:val="clear" w:color="auto" w:fill="auto"/>
          </w:tcPr>
          <w:p w14:paraId="109528AF" w14:textId="77777777" w:rsidR="00F9139F" w:rsidRPr="00884993" w:rsidRDefault="00F9139F" w:rsidP="00717EEC">
            <w:pPr>
              <w:rPr>
                <w:sz w:val="22"/>
                <w:szCs w:val="22"/>
              </w:rPr>
            </w:pPr>
            <w:r w:rsidRPr="00884993">
              <w:rPr>
                <w:sz w:val="22"/>
                <w:szCs w:val="22"/>
              </w:rPr>
              <w:t>If receiving sDMARD continue routine monitoring for concomitant therapy. Before each infusion ●Urinalysis  ●BP  ●FBC/U&amp;E’s</w:t>
            </w:r>
          </w:p>
          <w:p w14:paraId="454670C7" w14:textId="77777777" w:rsidR="00F9139F" w:rsidRPr="00884993" w:rsidRDefault="00F9139F" w:rsidP="00717EEC">
            <w:pPr>
              <w:rPr>
                <w:sz w:val="22"/>
                <w:szCs w:val="22"/>
              </w:rPr>
            </w:pPr>
            <w:r w:rsidRPr="00884993">
              <w:rPr>
                <w:sz w:val="22"/>
                <w:szCs w:val="22"/>
              </w:rPr>
              <w:t>For repeat cycles of rituximab:●Clinical review ●Immunoglobulins</w:t>
            </w:r>
          </w:p>
          <w:p w14:paraId="3A616CC4" w14:textId="77777777" w:rsidR="00F9139F" w:rsidRPr="00884993" w:rsidRDefault="00F9139F" w:rsidP="00717EEC">
            <w:pPr>
              <w:rPr>
                <w:sz w:val="22"/>
                <w:szCs w:val="22"/>
              </w:rPr>
            </w:pPr>
            <w:r w:rsidRPr="00884993">
              <w:rPr>
                <w:sz w:val="22"/>
                <w:szCs w:val="22"/>
              </w:rPr>
              <w:t>HMDS subsets at 0, day 15, 6 weeks and 3 monthly can help with planning management (as above)</w:t>
            </w:r>
          </w:p>
        </w:tc>
      </w:tr>
      <w:tr w:rsidR="00F9139F" w:rsidRPr="00E204BC" w14:paraId="72F13DC8" w14:textId="77777777" w:rsidTr="00717EEC">
        <w:trPr>
          <w:trHeight w:val="3761"/>
        </w:trPr>
        <w:tc>
          <w:tcPr>
            <w:tcW w:w="3014" w:type="dxa"/>
            <w:shd w:val="clear" w:color="auto" w:fill="CCFFFF"/>
          </w:tcPr>
          <w:p w14:paraId="15B8D14D" w14:textId="77777777" w:rsidR="00F9139F" w:rsidRPr="00884993" w:rsidRDefault="00F9139F" w:rsidP="00717EEC">
            <w:pPr>
              <w:rPr>
                <w:sz w:val="22"/>
                <w:szCs w:val="22"/>
              </w:rPr>
            </w:pPr>
            <w:r w:rsidRPr="00884993">
              <w:rPr>
                <w:sz w:val="22"/>
                <w:szCs w:val="22"/>
              </w:rPr>
              <w:t>Indications for Stopping Therapy:</w:t>
            </w:r>
          </w:p>
        </w:tc>
        <w:tc>
          <w:tcPr>
            <w:tcW w:w="4854" w:type="dxa"/>
            <w:shd w:val="clear" w:color="auto" w:fill="auto"/>
          </w:tcPr>
          <w:p w14:paraId="6E422547" w14:textId="77777777" w:rsidR="00F9139F" w:rsidRPr="00884993" w:rsidRDefault="00F9139F" w:rsidP="00717EEC">
            <w:pPr>
              <w:rPr>
                <w:sz w:val="22"/>
                <w:szCs w:val="22"/>
              </w:rPr>
            </w:pPr>
            <w:r w:rsidRPr="00884993">
              <w:rPr>
                <w:b/>
                <w:sz w:val="22"/>
                <w:szCs w:val="22"/>
              </w:rPr>
              <w:t>Stop if</w:t>
            </w:r>
            <w:r w:rsidRPr="00884993">
              <w:rPr>
                <w:sz w:val="22"/>
                <w:szCs w:val="22"/>
              </w:rPr>
              <w:t xml:space="preserve"> :●Neurological/cognitive/psychiatric symptoms – refer immediately to Rheumatology Service (very rarely PML) ● Facial flushing and sore throat are common minor infusion reactions which often occur during infusion, but may occur 24-48 hours after treatment ● If significant infusion reaction occurs stop infusion, administer IV antihistamine and restart as per protocol. More severe or persistent infusion reactions may require discontinuation. Prolonged reactions with flu like symptoms, headache, vasculitic rash and low complement may indicate immunogenicity. This is most common in CTD and may respond to prophylactic corticosteroids ● Significant rash or any evidence of infection occurs stop treatment ● Sore throat/ulceration can be a late complication related to neutropenia (6/52 – 6/12) so check FBC. </w:t>
            </w:r>
          </w:p>
          <w:p w14:paraId="7A9CF85F" w14:textId="77777777" w:rsidR="00F9139F" w:rsidRPr="00884993" w:rsidRDefault="00F9139F" w:rsidP="00717EEC">
            <w:pPr>
              <w:rPr>
                <w:sz w:val="22"/>
                <w:szCs w:val="22"/>
              </w:rPr>
            </w:pPr>
            <w:r w:rsidRPr="00884993">
              <w:rPr>
                <w:sz w:val="22"/>
                <w:szCs w:val="22"/>
              </w:rPr>
              <w:t>● Immunoglobulin IgG level &lt;6g/l - discuss case with Leeds Service</w:t>
            </w:r>
            <w:r w:rsidRPr="00884993">
              <w:rPr>
                <w:b/>
                <w:sz w:val="22"/>
                <w:szCs w:val="22"/>
              </w:rPr>
              <w:t xml:space="preserve"> ● If unsure contact local rheumatology service.</w:t>
            </w:r>
          </w:p>
        </w:tc>
      </w:tr>
      <w:tr w:rsidR="00F9139F" w14:paraId="30216448" w14:textId="77777777" w:rsidTr="00717EEC">
        <w:trPr>
          <w:trHeight w:val="987"/>
        </w:trPr>
        <w:tc>
          <w:tcPr>
            <w:tcW w:w="7869" w:type="dxa"/>
            <w:gridSpan w:val="2"/>
            <w:shd w:val="clear" w:color="auto" w:fill="auto"/>
          </w:tcPr>
          <w:p w14:paraId="2BDC29CD" w14:textId="77777777" w:rsidR="00F9139F" w:rsidRPr="006140D1" w:rsidRDefault="00F9139F" w:rsidP="00717EEC">
            <w:pPr>
              <w:rPr>
                <w:sz w:val="16"/>
                <w:szCs w:val="16"/>
              </w:rPr>
            </w:pPr>
            <w:r w:rsidRPr="006140D1">
              <w:rPr>
                <w:sz w:val="16"/>
                <w:szCs w:val="16"/>
              </w:rPr>
              <w:t>Please refer to licensed datasheet for more comprehensive prescribing information:</w:t>
            </w:r>
          </w:p>
          <w:p w14:paraId="383C78F6" w14:textId="77777777" w:rsidR="00F9139F" w:rsidRDefault="00323D19" w:rsidP="00717EEC">
            <w:pPr>
              <w:rPr>
                <w:sz w:val="16"/>
                <w:szCs w:val="16"/>
              </w:rPr>
            </w:pPr>
            <w:hyperlink r:id="rId94" w:history="1">
              <w:r w:rsidR="00F9139F" w:rsidRPr="006140D1">
                <w:rPr>
                  <w:rStyle w:val="Hyperlink"/>
                </w:rPr>
                <w:t>http://www.medicines.org.uk/EMC/medicine/2570/SPC/Mabthera+100mg+and+500mg+concentrate+for+solution+for+infusion/</w:t>
              </w:r>
            </w:hyperlink>
          </w:p>
          <w:p w14:paraId="02F946E5" w14:textId="77777777" w:rsidR="00F9139F" w:rsidRDefault="00F9139F" w:rsidP="00717EEC"/>
        </w:tc>
      </w:tr>
    </w:tbl>
    <w:p w14:paraId="0992C077" w14:textId="77777777" w:rsidR="00F9139F" w:rsidRPr="00F9139F" w:rsidRDefault="00F9139F" w:rsidP="00F9139F">
      <w:pPr>
        <w:sectPr w:rsidR="00F9139F" w:rsidRPr="00F9139F" w:rsidSect="004F0E11">
          <w:pgSz w:w="11906" w:h="16838"/>
          <w:pgMar w:top="1440" w:right="1440" w:bottom="1440" w:left="1440" w:header="708" w:footer="708" w:gutter="0"/>
          <w:cols w:space="708"/>
          <w:docGrid w:linePitch="360"/>
        </w:sectPr>
      </w:pPr>
    </w:p>
    <w:p w14:paraId="0F678603" w14:textId="56129E71" w:rsidR="00B139C2" w:rsidRDefault="00CF234C" w:rsidP="00B139C2">
      <w:pPr>
        <w:pStyle w:val="Heading2"/>
        <w:rPr>
          <w:rFonts w:eastAsia="Arial Unicode MS"/>
        </w:rPr>
      </w:pPr>
      <w:bookmarkStart w:id="30" w:name="_Toc531873942"/>
      <w:r w:rsidRPr="000B5112">
        <w:lastRenderedPageBreak/>
        <w:t>Tocilizumab (Roactemra®)</w:t>
      </w:r>
      <w:bookmarkEnd w:id="30"/>
      <w:r w:rsidRPr="000B5112">
        <w:t xml:space="preserve"> </w:t>
      </w:r>
    </w:p>
    <w:tbl>
      <w:tblPr>
        <w:tblW w:w="826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603"/>
      </w:tblGrid>
      <w:tr w:rsidR="00F9139F" w:rsidRPr="00884993" w14:paraId="5595EAF9" w14:textId="77777777" w:rsidTr="00717EEC">
        <w:trPr>
          <w:trHeight w:val="489"/>
        </w:trPr>
        <w:tc>
          <w:tcPr>
            <w:tcW w:w="2653" w:type="dxa"/>
            <w:shd w:val="clear" w:color="auto" w:fill="CCFFFF"/>
          </w:tcPr>
          <w:p w14:paraId="4E3C698B" w14:textId="77777777" w:rsidR="00F9139F" w:rsidRPr="00884993" w:rsidRDefault="00F9139F" w:rsidP="00717EEC">
            <w:pPr>
              <w:rPr>
                <w:sz w:val="22"/>
                <w:szCs w:val="22"/>
              </w:rPr>
            </w:pPr>
            <w:r w:rsidRPr="00884993">
              <w:rPr>
                <w:sz w:val="22"/>
                <w:szCs w:val="22"/>
              </w:rPr>
              <w:t>Therapeutic Class:</w:t>
            </w:r>
          </w:p>
        </w:tc>
        <w:tc>
          <w:tcPr>
            <w:tcW w:w="5615" w:type="dxa"/>
            <w:shd w:val="clear" w:color="auto" w:fill="auto"/>
          </w:tcPr>
          <w:p w14:paraId="7EA9DD26" w14:textId="77777777" w:rsidR="00F9139F" w:rsidRPr="00884993" w:rsidRDefault="00F9139F" w:rsidP="00717EEC">
            <w:pPr>
              <w:rPr>
                <w:sz w:val="22"/>
                <w:szCs w:val="22"/>
              </w:rPr>
            </w:pPr>
            <w:r w:rsidRPr="00884993">
              <w:rPr>
                <w:sz w:val="22"/>
                <w:szCs w:val="22"/>
              </w:rPr>
              <w:t>Biologic - humanised IgG1 monoclonal antibody against the human interleukin-6 (IL-6) receptor (see p17)</w:t>
            </w:r>
          </w:p>
        </w:tc>
      </w:tr>
      <w:tr w:rsidR="00F9139F" w:rsidRPr="00884993" w14:paraId="5C0BB73F" w14:textId="77777777" w:rsidTr="00717EEC">
        <w:trPr>
          <w:trHeight w:val="720"/>
        </w:trPr>
        <w:tc>
          <w:tcPr>
            <w:tcW w:w="2653" w:type="dxa"/>
            <w:shd w:val="clear" w:color="auto" w:fill="CCFFFF"/>
          </w:tcPr>
          <w:p w14:paraId="73642925" w14:textId="77777777" w:rsidR="00F9139F" w:rsidRPr="00884993" w:rsidRDefault="00F9139F" w:rsidP="00717EEC">
            <w:pPr>
              <w:rPr>
                <w:sz w:val="22"/>
                <w:szCs w:val="22"/>
              </w:rPr>
            </w:pPr>
            <w:r w:rsidRPr="00884993">
              <w:rPr>
                <w:sz w:val="22"/>
                <w:szCs w:val="22"/>
              </w:rPr>
              <w:t>Licensed Indications:</w:t>
            </w:r>
          </w:p>
        </w:tc>
        <w:tc>
          <w:tcPr>
            <w:tcW w:w="5615" w:type="dxa"/>
            <w:shd w:val="clear" w:color="auto" w:fill="auto"/>
          </w:tcPr>
          <w:p w14:paraId="648B76B6" w14:textId="77777777" w:rsidR="00F9139F" w:rsidRDefault="00F9139F" w:rsidP="00717EEC">
            <w:pPr>
              <w:rPr>
                <w:sz w:val="22"/>
                <w:szCs w:val="22"/>
              </w:rPr>
            </w:pPr>
            <w:r w:rsidRPr="00884993">
              <w:rPr>
                <w:b/>
                <w:sz w:val="22"/>
                <w:szCs w:val="22"/>
              </w:rPr>
              <w:t>RA</w:t>
            </w:r>
            <w:r w:rsidRPr="00884993">
              <w:rPr>
                <w:sz w:val="22"/>
                <w:szCs w:val="22"/>
              </w:rPr>
              <w:t xml:space="preserve"> (with or without MTX)</w:t>
            </w:r>
          </w:p>
          <w:p w14:paraId="55561123" w14:textId="77777777" w:rsidR="00F9139F" w:rsidRDefault="00F9139F" w:rsidP="00717EEC">
            <w:pPr>
              <w:rPr>
                <w:b/>
                <w:sz w:val="22"/>
                <w:szCs w:val="22"/>
              </w:rPr>
            </w:pPr>
            <w:r w:rsidRPr="00DC47BE">
              <w:rPr>
                <w:b/>
                <w:sz w:val="22"/>
                <w:szCs w:val="22"/>
              </w:rPr>
              <w:t>JIA</w:t>
            </w:r>
          </w:p>
          <w:p w14:paraId="61DC5091" w14:textId="77777777" w:rsidR="00F9139F" w:rsidRPr="00DC47BE" w:rsidRDefault="00F9139F" w:rsidP="00717EEC">
            <w:pPr>
              <w:rPr>
                <w:b/>
                <w:sz w:val="22"/>
                <w:szCs w:val="22"/>
              </w:rPr>
            </w:pPr>
            <w:r>
              <w:rPr>
                <w:b/>
                <w:sz w:val="22"/>
                <w:szCs w:val="22"/>
              </w:rPr>
              <w:t>GCA</w:t>
            </w:r>
          </w:p>
        </w:tc>
      </w:tr>
      <w:tr w:rsidR="00F9139F" w:rsidRPr="00884993" w14:paraId="20990CB7" w14:textId="77777777" w:rsidTr="00717EEC">
        <w:trPr>
          <w:trHeight w:val="1459"/>
        </w:trPr>
        <w:tc>
          <w:tcPr>
            <w:tcW w:w="2653" w:type="dxa"/>
            <w:shd w:val="clear" w:color="auto" w:fill="CCFFFF"/>
          </w:tcPr>
          <w:p w14:paraId="4881CD4B" w14:textId="77777777" w:rsidR="00F9139F" w:rsidRPr="00884993" w:rsidRDefault="00F9139F" w:rsidP="00717EEC">
            <w:pPr>
              <w:rPr>
                <w:sz w:val="22"/>
                <w:szCs w:val="22"/>
              </w:rPr>
            </w:pPr>
            <w:r w:rsidRPr="00884993">
              <w:rPr>
                <w:sz w:val="22"/>
                <w:szCs w:val="22"/>
              </w:rPr>
              <w:t>Licensed Dose:</w:t>
            </w:r>
          </w:p>
        </w:tc>
        <w:tc>
          <w:tcPr>
            <w:tcW w:w="5615" w:type="dxa"/>
            <w:shd w:val="clear" w:color="auto" w:fill="auto"/>
          </w:tcPr>
          <w:p w14:paraId="36AD952E" w14:textId="77777777" w:rsidR="00F9139F" w:rsidRPr="00996F7B" w:rsidRDefault="00F9139F" w:rsidP="00717EEC">
            <w:pPr>
              <w:rPr>
                <w:sz w:val="22"/>
                <w:szCs w:val="22"/>
              </w:rPr>
            </w:pPr>
            <w:r w:rsidRPr="00996F7B">
              <w:rPr>
                <w:b/>
                <w:sz w:val="22"/>
                <w:szCs w:val="22"/>
              </w:rPr>
              <w:t xml:space="preserve">RA - intravenous infusion </w:t>
            </w:r>
            <w:r w:rsidRPr="00996F7B">
              <w:rPr>
                <w:sz w:val="22"/>
                <w:szCs w:val="22"/>
              </w:rPr>
              <w:t xml:space="preserve">8 mg/kg body weight, given once every four weeks (maximum recommended dose 800mg) </w:t>
            </w:r>
            <w:r w:rsidRPr="00996F7B">
              <w:rPr>
                <w:b/>
                <w:sz w:val="22"/>
                <w:szCs w:val="22"/>
              </w:rPr>
              <w:t xml:space="preserve">subcutaneous injection - </w:t>
            </w:r>
            <w:r w:rsidRPr="00996F7B">
              <w:rPr>
                <w:sz w:val="22"/>
                <w:szCs w:val="22"/>
              </w:rPr>
              <w:t>162mg once every week.</w:t>
            </w:r>
          </w:p>
          <w:p w14:paraId="010F88F7" w14:textId="77777777" w:rsidR="00996F7B" w:rsidRDefault="00F9139F" w:rsidP="00996F7B">
            <w:pPr>
              <w:rPr>
                <w:sz w:val="22"/>
                <w:szCs w:val="22"/>
              </w:rPr>
            </w:pPr>
            <w:r w:rsidRPr="00996F7B">
              <w:rPr>
                <w:b/>
                <w:sz w:val="22"/>
                <w:szCs w:val="22"/>
              </w:rPr>
              <w:t>sJIA</w:t>
            </w:r>
            <w:r w:rsidRPr="00996F7B">
              <w:rPr>
                <w:sz w:val="22"/>
                <w:szCs w:val="22"/>
              </w:rPr>
              <w:t xml:space="preserve"> -8 mg/kg once every 2 weeks in patients weighing greater than or equal to 30 kg or 12 mg/kg once every 2 weeks in patients weighing less than 30 kg (For the unlicensed indication of AOSD use the same dose as recommended for sJIA).</w:t>
            </w:r>
            <w:r w:rsidR="00996F7B">
              <w:rPr>
                <w:sz w:val="22"/>
                <w:szCs w:val="22"/>
              </w:rPr>
              <w:t xml:space="preserve"> </w:t>
            </w:r>
          </w:p>
          <w:p w14:paraId="3C40E4DF" w14:textId="3D5500E1" w:rsidR="00F9139F" w:rsidRPr="00996F7B" w:rsidRDefault="00996F7B" w:rsidP="00996F7B">
            <w:pPr>
              <w:rPr>
                <w:sz w:val="22"/>
                <w:szCs w:val="22"/>
              </w:rPr>
            </w:pPr>
            <w:r>
              <w:rPr>
                <w:sz w:val="22"/>
                <w:szCs w:val="22"/>
              </w:rPr>
              <w:t>R</w:t>
            </w:r>
            <w:r w:rsidR="00F9139F" w:rsidRPr="00996F7B">
              <w:rPr>
                <w:sz w:val="22"/>
                <w:szCs w:val="22"/>
              </w:rPr>
              <w:t>efer to datasheet for dosage adjustment or interruption when abnormal LFT’s, neutrophils or platelets.</w:t>
            </w:r>
          </w:p>
        </w:tc>
      </w:tr>
      <w:tr w:rsidR="00F9139F" w:rsidRPr="00884993" w14:paraId="1CC9050D" w14:textId="77777777" w:rsidTr="00717EEC">
        <w:trPr>
          <w:trHeight w:val="758"/>
        </w:trPr>
        <w:tc>
          <w:tcPr>
            <w:tcW w:w="2653" w:type="dxa"/>
            <w:shd w:val="clear" w:color="auto" w:fill="CCFFFF"/>
          </w:tcPr>
          <w:p w14:paraId="2A8989D2" w14:textId="77777777" w:rsidR="00F9139F" w:rsidRPr="00884993" w:rsidRDefault="00F9139F" w:rsidP="00717EEC">
            <w:pPr>
              <w:rPr>
                <w:sz w:val="22"/>
                <w:szCs w:val="22"/>
              </w:rPr>
            </w:pPr>
            <w:r w:rsidRPr="00884993">
              <w:rPr>
                <w:sz w:val="22"/>
                <w:szCs w:val="22"/>
              </w:rPr>
              <w:t>Preparation:</w:t>
            </w:r>
          </w:p>
        </w:tc>
        <w:tc>
          <w:tcPr>
            <w:tcW w:w="5615" w:type="dxa"/>
            <w:shd w:val="clear" w:color="auto" w:fill="auto"/>
          </w:tcPr>
          <w:p w14:paraId="7978FFBF" w14:textId="77777777" w:rsidR="00F9139F" w:rsidRPr="00884993" w:rsidRDefault="00F9139F" w:rsidP="00F9139F">
            <w:pPr>
              <w:numPr>
                <w:ilvl w:val="0"/>
                <w:numId w:val="21"/>
              </w:numPr>
              <w:rPr>
                <w:sz w:val="22"/>
                <w:szCs w:val="22"/>
              </w:rPr>
            </w:pPr>
            <w:r w:rsidRPr="00884993">
              <w:rPr>
                <w:sz w:val="22"/>
                <w:szCs w:val="22"/>
              </w:rPr>
              <w:t>Vial 80 mg, 200mg &amp; 400 mg (all 20 mg/ml), Given as an intravenous infusion in 100ml 0.9% sodium chloride over 60 minutes.</w:t>
            </w:r>
          </w:p>
          <w:p w14:paraId="31F84703" w14:textId="77777777" w:rsidR="00F9139F" w:rsidRPr="00884993" w:rsidRDefault="00F9139F" w:rsidP="00F9139F">
            <w:pPr>
              <w:numPr>
                <w:ilvl w:val="0"/>
                <w:numId w:val="21"/>
              </w:numPr>
              <w:rPr>
                <w:sz w:val="22"/>
                <w:szCs w:val="22"/>
              </w:rPr>
            </w:pPr>
            <w:r w:rsidRPr="00884993">
              <w:rPr>
                <w:sz w:val="22"/>
                <w:szCs w:val="22"/>
              </w:rPr>
              <w:t>162 mg solution for injection in pre-filled syringe</w:t>
            </w:r>
          </w:p>
        </w:tc>
      </w:tr>
      <w:tr w:rsidR="00F9139F" w:rsidRPr="00884993" w14:paraId="76635D4E" w14:textId="77777777" w:rsidTr="00717EEC">
        <w:trPr>
          <w:trHeight w:val="1459"/>
        </w:trPr>
        <w:tc>
          <w:tcPr>
            <w:tcW w:w="2653" w:type="dxa"/>
            <w:tcBorders>
              <w:bottom w:val="single" w:sz="4" w:space="0" w:color="auto"/>
            </w:tcBorders>
            <w:shd w:val="clear" w:color="auto" w:fill="CCFFFF"/>
          </w:tcPr>
          <w:p w14:paraId="66D377B9" w14:textId="77777777" w:rsidR="00F9139F" w:rsidRPr="00884993" w:rsidRDefault="00F9139F" w:rsidP="00717EEC">
            <w:pPr>
              <w:rPr>
                <w:sz w:val="22"/>
                <w:szCs w:val="22"/>
              </w:rPr>
            </w:pPr>
            <w:r w:rsidRPr="00884993">
              <w:rPr>
                <w:sz w:val="22"/>
                <w:szCs w:val="22"/>
              </w:rPr>
              <w:t>NICE Guidance:</w:t>
            </w:r>
          </w:p>
        </w:tc>
        <w:tc>
          <w:tcPr>
            <w:tcW w:w="5615" w:type="dxa"/>
            <w:shd w:val="clear" w:color="auto" w:fill="auto"/>
          </w:tcPr>
          <w:p w14:paraId="59A4D04B" w14:textId="77777777" w:rsidR="00F9139F" w:rsidRDefault="00F9139F" w:rsidP="00717EEC">
            <w:pPr>
              <w:overflowPunct/>
              <w:autoSpaceDE/>
              <w:autoSpaceDN/>
              <w:adjustRightInd/>
              <w:textAlignment w:val="auto"/>
              <w:rPr>
                <w:rStyle w:val="Hyperlink"/>
                <w:kern w:val="24"/>
                <w:sz w:val="22"/>
                <w:szCs w:val="22"/>
                <w:lang w:eastAsia="en-GB"/>
              </w:rPr>
            </w:pPr>
            <w:r>
              <w:rPr>
                <w:color w:val="000000"/>
                <w:kern w:val="24"/>
                <w:sz w:val="22"/>
                <w:szCs w:val="22"/>
                <w:lang w:eastAsia="en-GB"/>
              </w:rPr>
              <w:t xml:space="preserve">RA: </w:t>
            </w:r>
            <w:hyperlink r:id="rId95" w:history="1">
              <w:r w:rsidRPr="004206F4">
                <w:rPr>
                  <w:rStyle w:val="Hyperlink"/>
                  <w:kern w:val="24"/>
                  <w:sz w:val="22"/>
                  <w:szCs w:val="22"/>
                  <w:u w:val="none"/>
                  <w:lang w:eastAsia="en-GB"/>
                </w:rPr>
                <w:t>TA375</w:t>
              </w:r>
            </w:hyperlink>
            <w:r w:rsidRPr="004206F4">
              <w:rPr>
                <w:rStyle w:val="Hyperlink"/>
                <w:kern w:val="24"/>
                <w:sz w:val="22"/>
                <w:szCs w:val="22"/>
                <w:u w:val="none"/>
                <w:lang w:eastAsia="en-GB"/>
              </w:rPr>
              <w:t xml:space="preserve"> </w:t>
            </w:r>
            <w:r w:rsidRPr="004206F4">
              <w:rPr>
                <w:rStyle w:val="Hyperlink"/>
                <w:color w:val="auto"/>
                <w:kern w:val="24"/>
                <w:sz w:val="22"/>
                <w:szCs w:val="22"/>
                <w:u w:val="none"/>
                <w:lang w:eastAsia="en-GB"/>
              </w:rPr>
              <w:t xml:space="preserve">and </w:t>
            </w:r>
            <w:hyperlink r:id="rId96" w:history="1">
              <w:r w:rsidRPr="004206F4">
                <w:rPr>
                  <w:rStyle w:val="Hyperlink"/>
                  <w:kern w:val="24"/>
                  <w:sz w:val="22"/>
                  <w:szCs w:val="22"/>
                  <w:u w:val="none"/>
                  <w:lang w:eastAsia="en-GB"/>
                </w:rPr>
                <w:t>TA247</w:t>
              </w:r>
            </w:hyperlink>
            <w:r w:rsidRPr="004206F4">
              <w:rPr>
                <w:rStyle w:val="Hyperlink"/>
                <w:kern w:val="24"/>
                <w:sz w:val="22"/>
                <w:szCs w:val="22"/>
                <w:u w:val="none"/>
                <w:lang w:eastAsia="en-GB"/>
              </w:rPr>
              <w:t xml:space="preserve"> </w:t>
            </w:r>
            <w:r w:rsidRPr="004206F4">
              <w:rPr>
                <w:rStyle w:val="Hyperlink"/>
                <w:color w:val="auto"/>
                <w:kern w:val="24"/>
                <w:sz w:val="22"/>
                <w:szCs w:val="22"/>
                <w:u w:val="none"/>
                <w:lang w:eastAsia="en-GB"/>
              </w:rPr>
              <w:t>(after TNF failure if rituximab CI/failed)</w:t>
            </w:r>
          </w:p>
          <w:p w14:paraId="22D7B027" w14:textId="77777777" w:rsidR="00F9139F" w:rsidRDefault="00F9139F" w:rsidP="00717EEC">
            <w:pPr>
              <w:rPr>
                <w:sz w:val="22"/>
                <w:szCs w:val="22"/>
              </w:rPr>
            </w:pPr>
            <w:r w:rsidRPr="00884993">
              <w:rPr>
                <w:sz w:val="22"/>
                <w:szCs w:val="22"/>
              </w:rPr>
              <w:t>JIA</w:t>
            </w:r>
            <w:r>
              <w:rPr>
                <w:sz w:val="22"/>
                <w:szCs w:val="22"/>
              </w:rPr>
              <w:t>:</w:t>
            </w:r>
            <w:r w:rsidRPr="00884993">
              <w:rPr>
                <w:sz w:val="22"/>
                <w:szCs w:val="22"/>
              </w:rPr>
              <w:t xml:space="preserve"> </w:t>
            </w:r>
            <w:hyperlink r:id="rId97" w:history="1">
              <w:r w:rsidRPr="00586C73">
                <w:rPr>
                  <w:rStyle w:val="Hyperlink"/>
                  <w:sz w:val="22"/>
                  <w:szCs w:val="22"/>
                </w:rPr>
                <w:t>TA373</w:t>
              </w:r>
            </w:hyperlink>
          </w:p>
          <w:p w14:paraId="478D9904" w14:textId="77777777" w:rsidR="00F9139F" w:rsidRDefault="00F9139F" w:rsidP="00717EEC">
            <w:pPr>
              <w:rPr>
                <w:rStyle w:val="Hyperlink"/>
                <w:sz w:val="22"/>
                <w:szCs w:val="22"/>
              </w:rPr>
            </w:pPr>
            <w:r w:rsidRPr="00884993">
              <w:rPr>
                <w:sz w:val="22"/>
                <w:szCs w:val="22"/>
                <w:u w:val="single"/>
              </w:rPr>
              <w:t>In combination with methotrexate</w:t>
            </w:r>
            <w:r w:rsidRPr="00884993">
              <w:rPr>
                <w:sz w:val="22"/>
                <w:szCs w:val="22"/>
              </w:rPr>
              <w:t xml:space="preserve"> -  after TNFi failure and rituximab </w:t>
            </w:r>
            <w:r>
              <w:rPr>
                <w:sz w:val="22"/>
                <w:szCs w:val="22"/>
              </w:rPr>
              <w:t>CI</w:t>
            </w:r>
            <w:r w:rsidRPr="00884993">
              <w:rPr>
                <w:sz w:val="22"/>
                <w:szCs w:val="22"/>
              </w:rPr>
              <w:t xml:space="preserve"> or following rituximab treatment failure </w:t>
            </w:r>
            <w:r>
              <w:rPr>
                <w:sz w:val="22"/>
                <w:szCs w:val="22"/>
              </w:rPr>
              <w:t>(</w:t>
            </w:r>
            <w:hyperlink r:id="rId98" w:history="1">
              <w:r w:rsidRPr="004206F4">
                <w:rPr>
                  <w:rStyle w:val="Hyperlink"/>
                  <w:kern w:val="24"/>
                  <w:sz w:val="22"/>
                  <w:szCs w:val="22"/>
                  <w:u w:val="none"/>
                  <w:lang w:eastAsia="en-GB"/>
                </w:rPr>
                <w:t>TA247</w:t>
              </w:r>
            </w:hyperlink>
            <w:r>
              <w:rPr>
                <w:rStyle w:val="Hyperlink"/>
                <w:kern w:val="24"/>
                <w:sz w:val="22"/>
                <w:szCs w:val="22"/>
                <w:u w:val="none"/>
                <w:lang w:eastAsia="en-GB"/>
              </w:rPr>
              <w:t>)</w:t>
            </w:r>
          </w:p>
          <w:p w14:paraId="1E3407EB" w14:textId="77777777" w:rsidR="00F9139F" w:rsidRDefault="00F9139F" w:rsidP="00717EEC">
            <w:pPr>
              <w:rPr>
                <w:sz w:val="22"/>
                <w:szCs w:val="22"/>
              </w:rPr>
            </w:pPr>
            <w:r w:rsidRPr="00884993">
              <w:rPr>
                <w:sz w:val="22"/>
                <w:szCs w:val="22"/>
              </w:rPr>
              <w:t>JIA</w:t>
            </w:r>
            <w:r>
              <w:rPr>
                <w:sz w:val="22"/>
                <w:szCs w:val="22"/>
              </w:rPr>
              <w:t>:</w:t>
            </w:r>
            <w:r w:rsidRPr="00884993">
              <w:rPr>
                <w:sz w:val="22"/>
                <w:szCs w:val="22"/>
              </w:rPr>
              <w:t xml:space="preserve"> </w:t>
            </w:r>
            <w:hyperlink r:id="rId99" w:history="1">
              <w:r w:rsidRPr="00586C73">
                <w:rPr>
                  <w:rStyle w:val="Hyperlink"/>
                  <w:sz w:val="22"/>
                  <w:szCs w:val="22"/>
                </w:rPr>
                <w:t>TA373</w:t>
              </w:r>
            </w:hyperlink>
          </w:p>
          <w:p w14:paraId="4D209790" w14:textId="77777777" w:rsidR="00F9139F" w:rsidRPr="00884993" w:rsidRDefault="00F9139F" w:rsidP="00717EEC">
            <w:pPr>
              <w:rPr>
                <w:sz w:val="22"/>
                <w:szCs w:val="22"/>
              </w:rPr>
            </w:pPr>
            <w:r>
              <w:rPr>
                <w:sz w:val="22"/>
                <w:szCs w:val="22"/>
              </w:rPr>
              <w:t xml:space="preserve">GCA: </w:t>
            </w:r>
            <w:hyperlink r:id="rId100" w:history="1">
              <w:r w:rsidRPr="00DC47BE">
                <w:rPr>
                  <w:rStyle w:val="Hyperlink"/>
                  <w:sz w:val="22"/>
                  <w:szCs w:val="22"/>
                </w:rPr>
                <w:t>TA518</w:t>
              </w:r>
            </w:hyperlink>
          </w:p>
        </w:tc>
      </w:tr>
      <w:tr w:rsidR="00F9139F" w:rsidRPr="00884993" w14:paraId="1741F026" w14:textId="77777777" w:rsidTr="00717EEC">
        <w:trPr>
          <w:trHeight w:val="2189"/>
        </w:trPr>
        <w:tc>
          <w:tcPr>
            <w:tcW w:w="2653" w:type="dxa"/>
            <w:shd w:val="clear" w:color="auto" w:fill="CCFFFF"/>
          </w:tcPr>
          <w:p w14:paraId="5CFF6C0D" w14:textId="77777777" w:rsidR="00F9139F" w:rsidRPr="00884993" w:rsidRDefault="00F9139F" w:rsidP="00717EEC">
            <w:pPr>
              <w:rPr>
                <w:sz w:val="22"/>
                <w:szCs w:val="22"/>
              </w:rPr>
            </w:pPr>
            <w:r w:rsidRPr="00884993">
              <w:rPr>
                <w:sz w:val="22"/>
                <w:szCs w:val="22"/>
              </w:rPr>
              <w:t>Warnings/Contra-indications/Significant drug interactions:</w:t>
            </w:r>
          </w:p>
          <w:p w14:paraId="4DE10C28" w14:textId="77777777" w:rsidR="00F9139F" w:rsidRPr="00884993" w:rsidRDefault="00F9139F" w:rsidP="00717EEC">
            <w:pPr>
              <w:rPr>
                <w:sz w:val="22"/>
                <w:szCs w:val="22"/>
              </w:rPr>
            </w:pPr>
            <w:r w:rsidRPr="00884993">
              <w:rPr>
                <w:sz w:val="22"/>
                <w:szCs w:val="22"/>
              </w:rPr>
              <w:t>(*Refer to licensed datasheet for special warnings)</w:t>
            </w:r>
          </w:p>
        </w:tc>
        <w:tc>
          <w:tcPr>
            <w:tcW w:w="5615" w:type="dxa"/>
            <w:shd w:val="clear" w:color="auto" w:fill="auto"/>
          </w:tcPr>
          <w:p w14:paraId="4D9C47C7" w14:textId="77777777" w:rsidR="00F9139F" w:rsidRPr="00884993" w:rsidRDefault="00F9139F" w:rsidP="00717EEC">
            <w:pPr>
              <w:rPr>
                <w:sz w:val="22"/>
                <w:szCs w:val="22"/>
              </w:rPr>
            </w:pPr>
            <w:r w:rsidRPr="00884993">
              <w:rPr>
                <w:sz w:val="22"/>
                <w:szCs w:val="22"/>
              </w:rPr>
              <w:t xml:space="preserve">● Live and attenuated live vaccines must not be given ● Hypersensitivity to the active substance or to any of the excipients ● Active tuberculosis (TB) or other severe infections such as sepsis, and opportunistic infections ● Active hepatic disease or impairment ● Pre-existing neutropenia ●Gastro-intestinal ulcers or Diverticulitis </w:t>
            </w:r>
            <w:r w:rsidRPr="00884993">
              <w:rPr>
                <w:b/>
                <w:sz w:val="22"/>
                <w:szCs w:val="22"/>
              </w:rPr>
              <w:t>●</w:t>
            </w:r>
            <w:r w:rsidRPr="00884993">
              <w:rPr>
                <w:sz w:val="22"/>
                <w:szCs w:val="22"/>
              </w:rPr>
              <w:t>Interstitial lung disease</w:t>
            </w:r>
            <w:r>
              <w:rPr>
                <w:sz w:val="22"/>
                <w:szCs w:val="22"/>
              </w:rPr>
              <w:t xml:space="preserve"> (increased risk of infection; reports of developing pneumonitis and fibrosis)</w:t>
            </w:r>
            <w:r w:rsidRPr="00884993">
              <w:rPr>
                <w:sz w:val="22"/>
                <w:szCs w:val="22"/>
              </w:rPr>
              <w:t xml:space="preserve"> </w:t>
            </w:r>
            <w:r w:rsidRPr="00884993">
              <w:rPr>
                <w:b/>
                <w:sz w:val="22"/>
                <w:szCs w:val="22"/>
              </w:rPr>
              <w:t>● Drug interactions:</w:t>
            </w:r>
            <w:r w:rsidRPr="00884993">
              <w:rPr>
                <w:sz w:val="22"/>
                <w:szCs w:val="22"/>
              </w:rPr>
              <w:t xml:space="preserve"> statins (simva, atorva, lora), calcium channel blockers, theophylline, warfarin, phenytoin, ciclosporin, or benzodiazepines - dose increases may be required to maintain therapeutic effect of these medicines.</w:t>
            </w:r>
          </w:p>
          <w:p w14:paraId="7F7A70AF" w14:textId="77777777" w:rsidR="00F9139F" w:rsidRPr="00884993" w:rsidRDefault="00F9139F" w:rsidP="00717EEC">
            <w:pPr>
              <w:rPr>
                <w:sz w:val="22"/>
                <w:szCs w:val="22"/>
              </w:rPr>
            </w:pPr>
            <w:r w:rsidRPr="00884993">
              <w:rPr>
                <w:sz w:val="22"/>
                <w:szCs w:val="22"/>
              </w:rPr>
              <w:t>*All patients treated with RoActemra should be given the Patient Alert Card.</w:t>
            </w:r>
          </w:p>
        </w:tc>
      </w:tr>
      <w:tr w:rsidR="00F9139F" w:rsidRPr="00884993" w14:paraId="6475E5B8" w14:textId="77777777" w:rsidTr="00717EEC">
        <w:trPr>
          <w:trHeight w:val="480"/>
        </w:trPr>
        <w:tc>
          <w:tcPr>
            <w:tcW w:w="2653" w:type="dxa"/>
            <w:tcBorders>
              <w:bottom w:val="single" w:sz="4" w:space="0" w:color="auto"/>
            </w:tcBorders>
            <w:shd w:val="clear" w:color="auto" w:fill="CCFFFF"/>
          </w:tcPr>
          <w:p w14:paraId="57A69DF9" w14:textId="77777777" w:rsidR="00F9139F" w:rsidRPr="00884993" w:rsidRDefault="00F9139F" w:rsidP="00717EEC">
            <w:pPr>
              <w:rPr>
                <w:sz w:val="22"/>
                <w:szCs w:val="22"/>
              </w:rPr>
            </w:pPr>
            <w:r w:rsidRPr="00884993">
              <w:rPr>
                <w:sz w:val="22"/>
                <w:szCs w:val="22"/>
              </w:rPr>
              <w:t>Assessment of Response:</w:t>
            </w:r>
          </w:p>
        </w:tc>
        <w:tc>
          <w:tcPr>
            <w:tcW w:w="5615" w:type="dxa"/>
            <w:shd w:val="clear" w:color="auto" w:fill="auto"/>
          </w:tcPr>
          <w:p w14:paraId="2E072DD4" w14:textId="77777777" w:rsidR="00F9139F" w:rsidRPr="00884993" w:rsidRDefault="00F9139F" w:rsidP="00717EEC">
            <w:pPr>
              <w:rPr>
                <w:sz w:val="22"/>
                <w:szCs w:val="22"/>
              </w:rPr>
            </w:pPr>
            <w:r w:rsidRPr="00884993">
              <w:rPr>
                <w:sz w:val="22"/>
                <w:szCs w:val="22"/>
              </w:rPr>
              <w:t>Available data suggest that clinical improvement is observed within 6 weeks of initiation of treatment with tocilizumab (refer to BSR/NICE guidance regarding adequate response).</w:t>
            </w:r>
          </w:p>
        </w:tc>
      </w:tr>
      <w:tr w:rsidR="00F9139F" w:rsidRPr="00884993" w14:paraId="33C8B12D" w14:textId="77777777" w:rsidTr="00717EEC">
        <w:trPr>
          <w:trHeight w:val="1017"/>
        </w:trPr>
        <w:tc>
          <w:tcPr>
            <w:tcW w:w="2653" w:type="dxa"/>
            <w:shd w:val="clear" w:color="auto" w:fill="CCFFFF"/>
          </w:tcPr>
          <w:p w14:paraId="19FABD88" w14:textId="77777777" w:rsidR="00F9139F" w:rsidRPr="00884993" w:rsidRDefault="00F9139F" w:rsidP="00717EEC">
            <w:pPr>
              <w:rPr>
                <w:sz w:val="22"/>
                <w:szCs w:val="22"/>
              </w:rPr>
            </w:pPr>
            <w:r w:rsidRPr="00884993">
              <w:rPr>
                <w:sz w:val="22"/>
                <w:szCs w:val="22"/>
              </w:rPr>
              <w:t>Baseline Tests:</w:t>
            </w:r>
          </w:p>
        </w:tc>
        <w:tc>
          <w:tcPr>
            <w:tcW w:w="5615" w:type="dxa"/>
            <w:shd w:val="clear" w:color="auto" w:fill="auto"/>
          </w:tcPr>
          <w:p w14:paraId="4345BD48"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Full clinical/infection screen</w:t>
            </w:r>
          </w:p>
          <w:p w14:paraId="657B59CE"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Urinalysis &amp; BP</w:t>
            </w:r>
          </w:p>
          <w:p w14:paraId="48312E32"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FBC/U&amp;E/LFT/ANA/DNA (contraindicated if LFT’s &gt; 5*ULN or absolute neutrophil count 2.0 &lt; 10</w:t>
            </w:r>
            <w:r w:rsidRPr="00884993">
              <w:rPr>
                <w:sz w:val="22"/>
                <w:szCs w:val="22"/>
                <w:vertAlign w:val="superscript"/>
              </w:rPr>
              <w:t xml:space="preserve">9 </w:t>
            </w:r>
            <w:r w:rsidRPr="00884993">
              <w:rPr>
                <w:sz w:val="22"/>
                <w:szCs w:val="22"/>
              </w:rPr>
              <w:t>/l)</w:t>
            </w:r>
          </w:p>
          <w:p w14:paraId="21C5FF65"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CXR (evidence TB/fibrosis)</w:t>
            </w:r>
          </w:p>
          <w:p w14:paraId="43E38741"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Quantiferon or TB spot (as indicated)</w:t>
            </w:r>
          </w:p>
          <w:p w14:paraId="0AC89FFC"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Hepatitis B&amp;C + consider HIV</w:t>
            </w:r>
          </w:p>
          <w:p w14:paraId="4DAE3214"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Baseline lipids</w:t>
            </w:r>
          </w:p>
          <w:p w14:paraId="2EC41790" w14:textId="77777777" w:rsidR="00F9139F" w:rsidRPr="00884993" w:rsidRDefault="00F9139F" w:rsidP="00F9139F">
            <w:pPr>
              <w:numPr>
                <w:ilvl w:val="0"/>
                <w:numId w:val="16"/>
              </w:numPr>
              <w:overflowPunct/>
              <w:autoSpaceDE/>
              <w:autoSpaceDN/>
              <w:adjustRightInd/>
              <w:textAlignment w:val="auto"/>
              <w:rPr>
                <w:sz w:val="22"/>
                <w:szCs w:val="22"/>
              </w:rPr>
            </w:pPr>
            <w:r w:rsidRPr="00884993">
              <w:rPr>
                <w:sz w:val="22"/>
                <w:szCs w:val="22"/>
              </w:rPr>
              <w:t>Pregnancy test if indicated</w:t>
            </w:r>
          </w:p>
        </w:tc>
      </w:tr>
      <w:tr w:rsidR="00F9139F" w:rsidRPr="00884993" w14:paraId="3600607A" w14:textId="77777777" w:rsidTr="00717EEC">
        <w:trPr>
          <w:trHeight w:val="729"/>
        </w:trPr>
        <w:tc>
          <w:tcPr>
            <w:tcW w:w="2653" w:type="dxa"/>
            <w:shd w:val="clear" w:color="auto" w:fill="CCFFFF"/>
          </w:tcPr>
          <w:p w14:paraId="3541D83A" w14:textId="77777777" w:rsidR="00F9139F" w:rsidRPr="00884993" w:rsidRDefault="00F9139F" w:rsidP="00717EEC">
            <w:pPr>
              <w:rPr>
                <w:sz w:val="22"/>
                <w:szCs w:val="22"/>
              </w:rPr>
            </w:pPr>
            <w:r w:rsidRPr="00884993">
              <w:rPr>
                <w:sz w:val="22"/>
                <w:szCs w:val="22"/>
              </w:rPr>
              <w:t>Routine Monitoring:</w:t>
            </w:r>
          </w:p>
        </w:tc>
        <w:tc>
          <w:tcPr>
            <w:tcW w:w="5615" w:type="dxa"/>
            <w:shd w:val="clear" w:color="auto" w:fill="auto"/>
          </w:tcPr>
          <w:p w14:paraId="3A10EA7C" w14:textId="15BF0BE0" w:rsidR="00F9139F" w:rsidRPr="00884993" w:rsidRDefault="00F9139F" w:rsidP="00996F7B">
            <w:pPr>
              <w:rPr>
                <w:sz w:val="22"/>
                <w:szCs w:val="22"/>
              </w:rPr>
            </w:pPr>
            <w:r w:rsidRPr="00884993">
              <w:rPr>
                <w:sz w:val="22"/>
                <w:szCs w:val="22"/>
              </w:rPr>
              <w:t>As for DMARD therapy or ● LFT’s (Transaminases) monthly ● Neutrophils and Platelets - monthly ● Lipid parameters - assessment o</w:t>
            </w:r>
            <w:r w:rsidR="00996F7B">
              <w:rPr>
                <w:sz w:val="22"/>
                <w:szCs w:val="22"/>
              </w:rPr>
              <w:t xml:space="preserve">f lipid parameters at 3 months </w:t>
            </w:r>
          </w:p>
        </w:tc>
      </w:tr>
      <w:tr w:rsidR="00F9139F" w:rsidRPr="00884993" w14:paraId="1C79EEA6" w14:textId="77777777" w:rsidTr="00717EEC">
        <w:trPr>
          <w:trHeight w:val="1699"/>
        </w:trPr>
        <w:tc>
          <w:tcPr>
            <w:tcW w:w="2653" w:type="dxa"/>
            <w:shd w:val="clear" w:color="auto" w:fill="CCFFFF"/>
          </w:tcPr>
          <w:p w14:paraId="47820275" w14:textId="77777777" w:rsidR="00F9139F" w:rsidRPr="00884993" w:rsidRDefault="00F9139F" w:rsidP="00717EEC">
            <w:pPr>
              <w:rPr>
                <w:sz w:val="22"/>
                <w:szCs w:val="22"/>
              </w:rPr>
            </w:pPr>
            <w:r w:rsidRPr="00884993">
              <w:rPr>
                <w:sz w:val="22"/>
                <w:szCs w:val="22"/>
              </w:rPr>
              <w:lastRenderedPageBreak/>
              <w:t>Indications for Stopping Therapy:</w:t>
            </w:r>
          </w:p>
        </w:tc>
        <w:tc>
          <w:tcPr>
            <w:tcW w:w="5615" w:type="dxa"/>
            <w:shd w:val="clear" w:color="auto" w:fill="auto"/>
          </w:tcPr>
          <w:p w14:paraId="61A5300C" w14:textId="77777777" w:rsidR="00F9139F" w:rsidRPr="00996F7B" w:rsidRDefault="00F9139F" w:rsidP="00717EEC">
            <w:pPr>
              <w:rPr>
                <w:sz w:val="22"/>
                <w:szCs w:val="22"/>
              </w:rPr>
            </w:pPr>
            <w:r w:rsidRPr="00884993">
              <w:rPr>
                <w:b/>
                <w:sz w:val="22"/>
                <w:szCs w:val="22"/>
              </w:rPr>
              <w:t>Stop if</w:t>
            </w:r>
            <w:r w:rsidRPr="00884993">
              <w:rPr>
                <w:sz w:val="22"/>
                <w:szCs w:val="22"/>
              </w:rPr>
              <w:t>: ●*Infusion reaction ● Evidence of infection ●Development of new abdominal symptoms ●Deterioration in lung function (perform CXR / PFT) ● LFT’s transaminases persistently &gt; 3*ULN ● Neutrophils &lt; 1.0*10</w:t>
            </w:r>
            <w:r w:rsidRPr="00884993">
              <w:rPr>
                <w:sz w:val="22"/>
                <w:szCs w:val="22"/>
                <w:vertAlign w:val="superscript"/>
              </w:rPr>
              <w:t xml:space="preserve">9 </w:t>
            </w:r>
            <w:r w:rsidRPr="00884993">
              <w:rPr>
                <w:sz w:val="22"/>
                <w:szCs w:val="22"/>
              </w:rPr>
              <w:t>/l ● Platelets &lt; 100 * 10</w:t>
            </w:r>
            <w:r w:rsidRPr="00884993">
              <w:rPr>
                <w:sz w:val="22"/>
                <w:szCs w:val="22"/>
                <w:vertAlign w:val="superscript"/>
              </w:rPr>
              <w:t>3</w:t>
            </w:r>
            <w:r w:rsidRPr="00884993">
              <w:rPr>
                <w:sz w:val="22"/>
                <w:szCs w:val="22"/>
              </w:rPr>
              <w:t xml:space="preserve">/μl ● Macrophage activation syndrome (MAS) </w:t>
            </w:r>
            <w:r w:rsidRPr="00996F7B">
              <w:rPr>
                <w:sz w:val="22"/>
                <w:szCs w:val="22"/>
              </w:rPr>
              <w:t>reported in sJIA</w:t>
            </w:r>
          </w:p>
          <w:p w14:paraId="0E638F37" w14:textId="77777777" w:rsidR="00F9139F" w:rsidRPr="00884993" w:rsidRDefault="00F9139F" w:rsidP="00717EEC">
            <w:pPr>
              <w:rPr>
                <w:sz w:val="22"/>
                <w:szCs w:val="22"/>
              </w:rPr>
            </w:pPr>
            <w:r w:rsidRPr="00884993">
              <w:rPr>
                <w:sz w:val="22"/>
                <w:szCs w:val="22"/>
              </w:rPr>
              <w:t>*Mild infusion reaction common within 24 hours of the first infusion. Severe reaction may be observed between 2</w:t>
            </w:r>
            <w:r w:rsidRPr="00884993">
              <w:rPr>
                <w:sz w:val="22"/>
                <w:szCs w:val="22"/>
                <w:vertAlign w:val="superscript"/>
              </w:rPr>
              <w:t>nd</w:t>
            </w:r>
            <w:r w:rsidRPr="00884993">
              <w:rPr>
                <w:sz w:val="22"/>
                <w:szCs w:val="22"/>
              </w:rPr>
              <w:t xml:space="preserve"> to 5</w:t>
            </w:r>
            <w:r w:rsidRPr="00884993">
              <w:rPr>
                <w:sz w:val="22"/>
                <w:szCs w:val="22"/>
                <w:vertAlign w:val="superscript"/>
              </w:rPr>
              <w:t>th</w:t>
            </w:r>
            <w:r w:rsidRPr="00884993">
              <w:rPr>
                <w:sz w:val="22"/>
                <w:szCs w:val="22"/>
              </w:rPr>
              <w:t xml:space="preserve">  infusion</w:t>
            </w:r>
          </w:p>
        </w:tc>
      </w:tr>
      <w:tr w:rsidR="00F9139F" w:rsidRPr="00884993" w14:paraId="2803B577" w14:textId="77777777" w:rsidTr="00717EEC">
        <w:trPr>
          <w:trHeight w:val="489"/>
        </w:trPr>
        <w:tc>
          <w:tcPr>
            <w:tcW w:w="8269" w:type="dxa"/>
            <w:gridSpan w:val="2"/>
            <w:tcBorders>
              <w:bottom w:val="single" w:sz="4" w:space="0" w:color="auto"/>
            </w:tcBorders>
            <w:shd w:val="clear" w:color="auto" w:fill="auto"/>
          </w:tcPr>
          <w:p w14:paraId="0CC51C97" w14:textId="77777777" w:rsidR="00F9139F" w:rsidRPr="00884993" w:rsidRDefault="00F9139F" w:rsidP="00717EEC">
            <w:pPr>
              <w:rPr>
                <w:sz w:val="22"/>
                <w:szCs w:val="22"/>
              </w:rPr>
            </w:pPr>
            <w:r w:rsidRPr="00884993">
              <w:rPr>
                <w:sz w:val="22"/>
                <w:szCs w:val="22"/>
              </w:rPr>
              <w:t>Please refer to licensed datasheet for more comprehensive prescribing information:</w:t>
            </w:r>
          </w:p>
          <w:p w14:paraId="00E68EDF" w14:textId="77777777" w:rsidR="00F9139F" w:rsidRPr="00884993" w:rsidRDefault="00323D19" w:rsidP="00717EEC">
            <w:pPr>
              <w:rPr>
                <w:sz w:val="22"/>
                <w:szCs w:val="22"/>
              </w:rPr>
            </w:pPr>
            <w:hyperlink r:id="rId101" w:history="1">
              <w:r w:rsidR="00F9139F" w:rsidRPr="00884993">
                <w:rPr>
                  <w:rStyle w:val="Hyperlink"/>
                  <w:sz w:val="22"/>
                  <w:szCs w:val="22"/>
                </w:rPr>
                <w:t>http://www.medicines.org.uk/EMC/medicine/22311/SPC/RoActemra+20mg+ml+Concentrate+for+Solution+for+Infusion/</w:t>
              </w:r>
            </w:hyperlink>
          </w:p>
        </w:tc>
      </w:tr>
    </w:tbl>
    <w:p w14:paraId="5EE40BC0" w14:textId="77777777" w:rsidR="00B139C2" w:rsidRDefault="00B139C2" w:rsidP="00B139C2">
      <w:pPr>
        <w:overflowPunct/>
        <w:autoSpaceDE/>
        <w:autoSpaceDN/>
        <w:adjustRightInd/>
        <w:spacing w:after="160" w:line="259" w:lineRule="auto"/>
        <w:textAlignment w:val="auto"/>
        <w:rPr>
          <w:rFonts w:eastAsia="Arial Unicode MS"/>
        </w:rPr>
      </w:pPr>
    </w:p>
    <w:p w14:paraId="64A39AC0" w14:textId="77777777" w:rsidR="00B139C2" w:rsidRDefault="00B139C2">
      <w:pPr>
        <w:overflowPunct/>
        <w:autoSpaceDE/>
        <w:autoSpaceDN/>
        <w:adjustRightInd/>
        <w:spacing w:after="160" w:line="259" w:lineRule="auto"/>
        <w:textAlignment w:val="auto"/>
        <w:rPr>
          <w:rFonts w:eastAsia="Arial Unicode MS"/>
        </w:rPr>
      </w:pPr>
    </w:p>
    <w:p w14:paraId="3A0BB1F4" w14:textId="77777777" w:rsidR="00B139C2" w:rsidRDefault="00B139C2">
      <w:pPr>
        <w:overflowPunct/>
        <w:autoSpaceDE/>
        <w:autoSpaceDN/>
        <w:adjustRightInd/>
        <w:spacing w:after="160" w:line="259" w:lineRule="auto"/>
        <w:textAlignment w:val="auto"/>
        <w:rPr>
          <w:rFonts w:eastAsia="Arial Unicode MS"/>
        </w:rPr>
      </w:pPr>
    </w:p>
    <w:p w14:paraId="688336B0" w14:textId="77777777" w:rsidR="00B139C2" w:rsidRDefault="00B139C2" w:rsidP="00492B26">
      <w:pPr>
        <w:pStyle w:val="Heading2"/>
        <w:rPr>
          <w:rFonts w:eastAsia="Arial Unicode MS"/>
        </w:rPr>
        <w:sectPr w:rsidR="00B139C2" w:rsidSect="00B139C2">
          <w:pgSz w:w="11906" w:h="16838"/>
          <w:pgMar w:top="1440" w:right="1440" w:bottom="1440" w:left="1440" w:header="708" w:footer="708" w:gutter="0"/>
          <w:cols w:space="708"/>
          <w:docGrid w:linePitch="360"/>
        </w:sectPr>
      </w:pPr>
    </w:p>
    <w:p w14:paraId="35C917C8" w14:textId="77777777" w:rsidR="00BB0D06" w:rsidRDefault="00BB0D06">
      <w:pPr>
        <w:overflowPunct/>
        <w:autoSpaceDE/>
        <w:autoSpaceDN/>
        <w:adjustRightInd/>
        <w:spacing w:after="160" w:line="259" w:lineRule="auto"/>
        <w:textAlignment w:val="auto"/>
        <w:rPr>
          <w:rFonts w:eastAsia="Arial Unicode MS" w:cstheme="majorBidi"/>
          <w:b/>
          <w:sz w:val="26"/>
          <w:szCs w:val="26"/>
        </w:rPr>
      </w:pPr>
      <w:r>
        <w:rPr>
          <w:rFonts w:eastAsia="Arial Unicode MS"/>
        </w:rPr>
        <w:lastRenderedPageBreak/>
        <w:br w:type="page"/>
      </w:r>
    </w:p>
    <w:p w14:paraId="5C63AA33" w14:textId="288F66A0" w:rsidR="00492B26" w:rsidRDefault="00CF234C" w:rsidP="00492B26">
      <w:pPr>
        <w:pStyle w:val="Heading2"/>
        <w:rPr>
          <w:rFonts w:eastAsia="Arial Unicode MS"/>
        </w:rPr>
      </w:pPr>
      <w:bookmarkStart w:id="31" w:name="_Toc531873943"/>
      <w:r>
        <w:rPr>
          <w:rFonts w:eastAsia="Arial Unicode MS"/>
        </w:rPr>
        <w:lastRenderedPageBreak/>
        <w:t>Ixekizumab (Taltz</w:t>
      </w:r>
      <w:r>
        <w:rPr>
          <w:rFonts w:ascii="MS Gothic" w:eastAsia="MS Gothic" w:hAnsi="MS Gothic" w:cs="MS Gothic" w:hint="eastAsia"/>
        </w:rPr>
        <w:t>Ⓡ</w:t>
      </w:r>
      <w:r>
        <w:rPr>
          <w:rFonts w:eastAsia="Arial Unicode MS"/>
        </w:rPr>
        <w:t>)</w:t>
      </w:r>
      <w:bookmarkEnd w:id="31"/>
    </w:p>
    <w:tbl>
      <w:tblPr>
        <w:tblpPr w:leftFromText="180" w:rightFromText="180" w:vertAnchor="page" w:horzAnchor="margin" w:tblpY="206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5271"/>
      </w:tblGrid>
      <w:tr w:rsidR="00941ACA" w:rsidRPr="00884993" w14:paraId="26CA35A2" w14:textId="77777777" w:rsidTr="00941ACA">
        <w:trPr>
          <w:trHeight w:val="480"/>
        </w:trPr>
        <w:tc>
          <w:tcPr>
            <w:tcW w:w="3745" w:type="dxa"/>
            <w:shd w:val="clear" w:color="auto" w:fill="CCFFFF"/>
          </w:tcPr>
          <w:p w14:paraId="679D84D0" w14:textId="77777777" w:rsidR="00941ACA" w:rsidRPr="00884993" w:rsidRDefault="00941ACA" w:rsidP="00941ACA">
            <w:pPr>
              <w:rPr>
                <w:sz w:val="22"/>
                <w:szCs w:val="22"/>
              </w:rPr>
            </w:pPr>
            <w:r w:rsidRPr="00884993">
              <w:rPr>
                <w:sz w:val="22"/>
                <w:szCs w:val="22"/>
              </w:rPr>
              <w:t>Therapeutic class:</w:t>
            </w:r>
          </w:p>
        </w:tc>
        <w:tc>
          <w:tcPr>
            <w:tcW w:w="5271" w:type="dxa"/>
            <w:shd w:val="clear" w:color="auto" w:fill="auto"/>
          </w:tcPr>
          <w:p w14:paraId="20FD0C36" w14:textId="77777777" w:rsidR="00941ACA" w:rsidRPr="00884993" w:rsidRDefault="00941ACA" w:rsidP="00941ACA">
            <w:pPr>
              <w:rPr>
                <w:sz w:val="22"/>
                <w:szCs w:val="22"/>
              </w:rPr>
            </w:pPr>
            <w:r w:rsidRPr="00AB6659">
              <w:rPr>
                <w:sz w:val="22"/>
                <w:szCs w:val="22"/>
              </w:rPr>
              <w:t>IgG4 monoclonal antibody that binds 17A (both IL-17A and IL-17A/F)</w:t>
            </w:r>
          </w:p>
        </w:tc>
      </w:tr>
      <w:tr w:rsidR="00941ACA" w:rsidRPr="00884993" w14:paraId="5F478667" w14:textId="77777777" w:rsidTr="00941ACA">
        <w:trPr>
          <w:trHeight w:val="603"/>
        </w:trPr>
        <w:tc>
          <w:tcPr>
            <w:tcW w:w="3745" w:type="dxa"/>
            <w:shd w:val="clear" w:color="auto" w:fill="CCFFFF"/>
          </w:tcPr>
          <w:p w14:paraId="36783C4D" w14:textId="77777777" w:rsidR="00941ACA" w:rsidRPr="00884993" w:rsidRDefault="00941ACA" w:rsidP="00941ACA">
            <w:pPr>
              <w:rPr>
                <w:sz w:val="22"/>
                <w:szCs w:val="22"/>
              </w:rPr>
            </w:pPr>
            <w:r w:rsidRPr="00884993">
              <w:rPr>
                <w:sz w:val="22"/>
                <w:szCs w:val="22"/>
              </w:rPr>
              <w:t>Licensed Dose:</w:t>
            </w:r>
          </w:p>
        </w:tc>
        <w:tc>
          <w:tcPr>
            <w:tcW w:w="5271" w:type="dxa"/>
            <w:shd w:val="clear" w:color="auto" w:fill="auto"/>
          </w:tcPr>
          <w:p w14:paraId="3DAE3582" w14:textId="77777777" w:rsidR="00941ACA" w:rsidRPr="00884993" w:rsidRDefault="00941ACA" w:rsidP="00941ACA">
            <w:pPr>
              <w:overflowPunct/>
              <w:autoSpaceDE/>
              <w:autoSpaceDN/>
              <w:adjustRightInd/>
              <w:spacing w:before="100" w:beforeAutospacing="1" w:after="75"/>
              <w:textAlignment w:val="auto"/>
              <w:rPr>
                <w:sz w:val="22"/>
                <w:szCs w:val="22"/>
              </w:rPr>
            </w:pPr>
            <w:r w:rsidRPr="00BB0D06">
              <w:rPr>
                <w:b/>
                <w:sz w:val="22"/>
                <w:szCs w:val="22"/>
                <w:highlight w:val="white"/>
              </w:rPr>
              <w:t>PsA</w:t>
            </w:r>
            <w:r w:rsidRPr="00BB0D06">
              <w:rPr>
                <w:sz w:val="22"/>
                <w:szCs w:val="22"/>
                <w:highlight w:val="white"/>
              </w:rPr>
              <w:t xml:space="preserve"> - 160mg sc week 0,then 80mg every 4 weeks with or without MTX</w:t>
            </w:r>
          </w:p>
        </w:tc>
      </w:tr>
      <w:tr w:rsidR="00941ACA" w:rsidRPr="00884993" w14:paraId="6A85F78D" w14:textId="77777777" w:rsidTr="00941ACA">
        <w:trPr>
          <w:trHeight w:val="471"/>
        </w:trPr>
        <w:tc>
          <w:tcPr>
            <w:tcW w:w="3745" w:type="dxa"/>
            <w:shd w:val="clear" w:color="auto" w:fill="CCFFFF"/>
          </w:tcPr>
          <w:p w14:paraId="55FC16E0" w14:textId="77777777" w:rsidR="00941ACA" w:rsidRPr="00884993" w:rsidRDefault="00941ACA" w:rsidP="00941ACA">
            <w:pPr>
              <w:rPr>
                <w:sz w:val="22"/>
                <w:szCs w:val="22"/>
              </w:rPr>
            </w:pPr>
            <w:r w:rsidRPr="00884993">
              <w:rPr>
                <w:sz w:val="22"/>
                <w:szCs w:val="22"/>
              </w:rPr>
              <w:t>NICE Guidance:</w:t>
            </w:r>
          </w:p>
        </w:tc>
        <w:tc>
          <w:tcPr>
            <w:tcW w:w="5271" w:type="dxa"/>
            <w:shd w:val="clear" w:color="auto" w:fill="auto"/>
          </w:tcPr>
          <w:p w14:paraId="43067A13" w14:textId="77777777" w:rsidR="00941ACA" w:rsidRPr="00586C73" w:rsidRDefault="00323D19" w:rsidP="00941ACA">
            <w:pPr>
              <w:rPr>
                <w:sz w:val="22"/>
                <w:szCs w:val="22"/>
              </w:rPr>
            </w:pPr>
            <w:hyperlink r:id="rId102" w:history="1">
              <w:r w:rsidR="00941ACA" w:rsidRPr="00027BF1">
                <w:rPr>
                  <w:rStyle w:val="Hyperlink"/>
                  <w:sz w:val="22"/>
                  <w:szCs w:val="22"/>
                </w:rPr>
                <w:t>TA 537</w:t>
              </w:r>
            </w:hyperlink>
          </w:p>
        </w:tc>
      </w:tr>
      <w:tr w:rsidR="00881714" w:rsidRPr="00884993" w14:paraId="21366552" w14:textId="77777777" w:rsidTr="00941ACA">
        <w:trPr>
          <w:trHeight w:val="471"/>
        </w:trPr>
        <w:tc>
          <w:tcPr>
            <w:tcW w:w="3745" w:type="dxa"/>
            <w:shd w:val="clear" w:color="auto" w:fill="CCFFFF"/>
          </w:tcPr>
          <w:p w14:paraId="75EC937F" w14:textId="3D80B67C" w:rsidR="00881714" w:rsidRPr="00884993" w:rsidRDefault="00881714" w:rsidP="00881714">
            <w:pPr>
              <w:rPr>
                <w:sz w:val="22"/>
                <w:szCs w:val="22"/>
              </w:rPr>
            </w:pPr>
            <w:r>
              <w:rPr>
                <w:sz w:val="22"/>
                <w:szCs w:val="22"/>
              </w:rPr>
              <w:t>Renal/hepatic impairment</w:t>
            </w:r>
          </w:p>
        </w:tc>
        <w:tc>
          <w:tcPr>
            <w:tcW w:w="5271" w:type="dxa"/>
            <w:shd w:val="clear" w:color="auto" w:fill="auto"/>
          </w:tcPr>
          <w:p w14:paraId="0FE36214" w14:textId="33CA6A72" w:rsidR="00881714" w:rsidRDefault="00881714" w:rsidP="00881714">
            <w:pPr>
              <w:rPr>
                <w:rStyle w:val="Hyperlink"/>
                <w:sz w:val="22"/>
                <w:szCs w:val="22"/>
              </w:rPr>
            </w:pPr>
            <w:r w:rsidRPr="00BB0D06">
              <w:rPr>
                <w:sz w:val="22"/>
                <w:szCs w:val="22"/>
              </w:rPr>
              <w:t>Not studied - no dose recommendation can be made</w:t>
            </w:r>
          </w:p>
        </w:tc>
      </w:tr>
      <w:tr w:rsidR="00881714" w:rsidRPr="00884993" w14:paraId="2EF79FEC" w14:textId="77777777" w:rsidTr="00941ACA">
        <w:trPr>
          <w:trHeight w:val="471"/>
        </w:trPr>
        <w:tc>
          <w:tcPr>
            <w:tcW w:w="3745" w:type="dxa"/>
            <w:shd w:val="clear" w:color="auto" w:fill="CCFFFF"/>
          </w:tcPr>
          <w:p w14:paraId="6B4E069C" w14:textId="04843031" w:rsidR="00881714" w:rsidRDefault="00881714" w:rsidP="00881714">
            <w:pPr>
              <w:rPr>
                <w:sz w:val="22"/>
                <w:szCs w:val="22"/>
              </w:rPr>
            </w:pPr>
            <w:r w:rsidRPr="00BB0D06">
              <w:rPr>
                <w:sz w:val="22"/>
                <w:szCs w:val="22"/>
              </w:rPr>
              <w:t>Elderly</w:t>
            </w:r>
          </w:p>
        </w:tc>
        <w:tc>
          <w:tcPr>
            <w:tcW w:w="5271" w:type="dxa"/>
            <w:shd w:val="clear" w:color="auto" w:fill="auto"/>
          </w:tcPr>
          <w:p w14:paraId="2B607866" w14:textId="557218AF" w:rsidR="00881714" w:rsidRPr="00BB0D06" w:rsidRDefault="00881714" w:rsidP="00881714">
            <w:pPr>
              <w:rPr>
                <w:sz w:val="22"/>
                <w:szCs w:val="22"/>
              </w:rPr>
            </w:pPr>
            <w:r w:rsidRPr="00BB0D06">
              <w:rPr>
                <w:sz w:val="22"/>
                <w:szCs w:val="22"/>
              </w:rPr>
              <w:t>No dose adjustment</w:t>
            </w:r>
          </w:p>
        </w:tc>
      </w:tr>
      <w:tr w:rsidR="00881714" w:rsidRPr="00884993" w14:paraId="739E65AF" w14:textId="77777777" w:rsidTr="00941ACA">
        <w:trPr>
          <w:trHeight w:val="716"/>
        </w:trPr>
        <w:tc>
          <w:tcPr>
            <w:tcW w:w="3745" w:type="dxa"/>
            <w:shd w:val="clear" w:color="auto" w:fill="CCFFFF"/>
          </w:tcPr>
          <w:p w14:paraId="3076D575" w14:textId="77777777" w:rsidR="00881714" w:rsidRPr="00884993" w:rsidRDefault="00881714" w:rsidP="00881714">
            <w:pPr>
              <w:rPr>
                <w:sz w:val="22"/>
                <w:szCs w:val="22"/>
              </w:rPr>
            </w:pPr>
            <w:r w:rsidRPr="00884993">
              <w:rPr>
                <w:sz w:val="22"/>
                <w:szCs w:val="22"/>
              </w:rPr>
              <w:t>Warnings/Contra-indications/Significant drug interactions:</w:t>
            </w:r>
          </w:p>
          <w:p w14:paraId="59E7BF4C" w14:textId="77777777" w:rsidR="00881714" w:rsidRPr="00884993" w:rsidRDefault="00881714" w:rsidP="00881714">
            <w:pPr>
              <w:rPr>
                <w:sz w:val="22"/>
                <w:szCs w:val="22"/>
              </w:rPr>
            </w:pPr>
            <w:r w:rsidRPr="00884993">
              <w:rPr>
                <w:sz w:val="22"/>
                <w:szCs w:val="22"/>
              </w:rPr>
              <w:t>(*Refer to licensed datasheet for special warnings)</w:t>
            </w:r>
          </w:p>
        </w:tc>
        <w:tc>
          <w:tcPr>
            <w:tcW w:w="5271" w:type="dxa"/>
            <w:shd w:val="clear" w:color="auto" w:fill="auto"/>
          </w:tcPr>
          <w:p w14:paraId="2AA29FA0" w14:textId="77777777" w:rsidR="00881714" w:rsidRPr="00BB0D06" w:rsidRDefault="00881714" w:rsidP="00881714">
            <w:pPr>
              <w:widowControl w:val="0"/>
              <w:rPr>
                <w:sz w:val="22"/>
                <w:szCs w:val="22"/>
              </w:rPr>
            </w:pPr>
            <w:r w:rsidRPr="00BB0D06">
              <w:rPr>
                <w:sz w:val="22"/>
                <w:szCs w:val="22"/>
              </w:rPr>
              <w:t>Do not give in active TB</w:t>
            </w:r>
          </w:p>
          <w:p w14:paraId="3BD28EDF" w14:textId="4DC910A4" w:rsidR="00881714" w:rsidRPr="00BB0D06" w:rsidRDefault="00881714" w:rsidP="00881714">
            <w:pPr>
              <w:widowControl w:val="0"/>
              <w:rPr>
                <w:sz w:val="22"/>
                <w:szCs w:val="22"/>
              </w:rPr>
            </w:pPr>
            <w:r w:rsidRPr="00BB0D06">
              <w:rPr>
                <w:sz w:val="22"/>
                <w:szCs w:val="22"/>
              </w:rPr>
              <w:t>Increased risk infectio</w:t>
            </w:r>
            <w:r w:rsidR="00301B71">
              <w:rPr>
                <w:sz w:val="22"/>
                <w:szCs w:val="22"/>
              </w:rPr>
              <w:t>n - URTI, candidiasis and</w:t>
            </w:r>
            <w:r w:rsidRPr="00BB0D06">
              <w:rPr>
                <w:sz w:val="22"/>
                <w:szCs w:val="22"/>
              </w:rPr>
              <w:t xml:space="preserve"> conjunctivitis </w:t>
            </w:r>
          </w:p>
          <w:p w14:paraId="17BFE15F" w14:textId="77777777" w:rsidR="00881714" w:rsidRPr="00BB0D06" w:rsidRDefault="00881714" w:rsidP="00881714">
            <w:pPr>
              <w:widowControl w:val="0"/>
              <w:rPr>
                <w:sz w:val="22"/>
                <w:szCs w:val="22"/>
              </w:rPr>
            </w:pPr>
            <w:r w:rsidRPr="00BB0D06">
              <w:rPr>
                <w:sz w:val="22"/>
                <w:szCs w:val="22"/>
              </w:rPr>
              <w:t>Caution if hx of chronic infection</w:t>
            </w:r>
          </w:p>
          <w:p w14:paraId="3735C39E" w14:textId="77777777" w:rsidR="00881714" w:rsidRPr="00BB0D06" w:rsidRDefault="00881714" w:rsidP="00881714">
            <w:pPr>
              <w:widowControl w:val="0"/>
              <w:rPr>
                <w:sz w:val="22"/>
                <w:szCs w:val="22"/>
              </w:rPr>
            </w:pPr>
            <w:r w:rsidRPr="00BB0D06">
              <w:rPr>
                <w:sz w:val="22"/>
                <w:szCs w:val="22"/>
              </w:rPr>
              <w:t>Risk hypersensitivity reactions (can be 10-14 days post injection)</w:t>
            </w:r>
          </w:p>
          <w:p w14:paraId="249E5087" w14:textId="77777777" w:rsidR="00881714" w:rsidRPr="00BB0D06" w:rsidRDefault="00881714" w:rsidP="00881714">
            <w:pPr>
              <w:widowControl w:val="0"/>
              <w:rPr>
                <w:sz w:val="22"/>
                <w:szCs w:val="22"/>
              </w:rPr>
            </w:pPr>
            <w:r w:rsidRPr="00BB0D06">
              <w:rPr>
                <w:sz w:val="22"/>
                <w:szCs w:val="22"/>
              </w:rPr>
              <w:t>May cause or exacerbate Crohn’s and ulcerative colitis</w:t>
            </w:r>
          </w:p>
          <w:p w14:paraId="6884137F" w14:textId="77777777" w:rsidR="00881714" w:rsidRDefault="00881714" w:rsidP="00881714">
            <w:pPr>
              <w:rPr>
                <w:sz w:val="22"/>
                <w:szCs w:val="22"/>
              </w:rPr>
            </w:pPr>
            <w:r w:rsidRPr="00BB0D06">
              <w:rPr>
                <w:sz w:val="22"/>
                <w:szCs w:val="22"/>
              </w:rPr>
              <w:t>May cause neutropenia and/or thrombocytopenia</w:t>
            </w:r>
          </w:p>
          <w:p w14:paraId="2DECE1C7" w14:textId="77777777" w:rsidR="00881714" w:rsidRPr="00884993" w:rsidRDefault="00881714" w:rsidP="00881714">
            <w:pPr>
              <w:rPr>
                <w:sz w:val="22"/>
                <w:szCs w:val="22"/>
              </w:rPr>
            </w:pPr>
            <w:r>
              <w:rPr>
                <w:sz w:val="22"/>
                <w:szCs w:val="22"/>
                <w:highlight w:val="white"/>
              </w:rPr>
              <w:t>Manufacturer advises</w:t>
            </w:r>
            <w:r w:rsidRPr="00BB0D06">
              <w:rPr>
                <w:sz w:val="22"/>
                <w:szCs w:val="22"/>
                <w:highlight w:val="white"/>
              </w:rPr>
              <w:t xml:space="preserve"> </w:t>
            </w:r>
            <w:r>
              <w:rPr>
                <w:sz w:val="22"/>
                <w:szCs w:val="22"/>
                <w:highlight w:val="white"/>
              </w:rPr>
              <w:t>avoid with</w:t>
            </w:r>
            <w:r w:rsidRPr="00BB0D06">
              <w:rPr>
                <w:sz w:val="22"/>
                <w:szCs w:val="22"/>
                <w:highlight w:val="white"/>
              </w:rPr>
              <w:t xml:space="preserve"> live vaccines</w:t>
            </w:r>
          </w:p>
        </w:tc>
      </w:tr>
      <w:tr w:rsidR="00881714" w:rsidRPr="00884993" w14:paraId="01B76FF1" w14:textId="77777777" w:rsidTr="00941ACA">
        <w:trPr>
          <w:trHeight w:val="716"/>
        </w:trPr>
        <w:tc>
          <w:tcPr>
            <w:tcW w:w="3745" w:type="dxa"/>
            <w:shd w:val="clear" w:color="auto" w:fill="CCFFFF"/>
          </w:tcPr>
          <w:p w14:paraId="1EAFD4FA" w14:textId="77777777" w:rsidR="00881714" w:rsidRPr="00884993" w:rsidRDefault="00881714" w:rsidP="00881714">
            <w:pPr>
              <w:rPr>
                <w:sz w:val="22"/>
                <w:szCs w:val="22"/>
              </w:rPr>
            </w:pPr>
            <w:r w:rsidRPr="00884993">
              <w:rPr>
                <w:sz w:val="22"/>
                <w:szCs w:val="22"/>
              </w:rPr>
              <w:t>Pregnancy &amp; Breastfeeding:</w:t>
            </w:r>
          </w:p>
        </w:tc>
        <w:tc>
          <w:tcPr>
            <w:tcW w:w="5271" w:type="dxa"/>
            <w:shd w:val="clear" w:color="auto" w:fill="auto"/>
          </w:tcPr>
          <w:p w14:paraId="5A8A2B99" w14:textId="77777777" w:rsidR="00881714" w:rsidRPr="00BB0D06" w:rsidRDefault="00881714" w:rsidP="00881714">
            <w:pPr>
              <w:widowControl w:val="0"/>
              <w:rPr>
                <w:sz w:val="22"/>
                <w:szCs w:val="22"/>
              </w:rPr>
            </w:pPr>
            <w:r>
              <w:rPr>
                <w:sz w:val="22"/>
                <w:szCs w:val="22"/>
                <w:highlight w:val="white"/>
              </w:rPr>
              <w:t>No data available. Manufacturer advises w</w:t>
            </w:r>
            <w:r w:rsidRPr="00BB0D06">
              <w:rPr>
                <w:sz w:val="22"/>
                <w:szCs w:val="22"/>
                <w:highlight w:val="white"/>
              </w:rPr>
              <w:t>omen of childbearing potential - contraception during and for at least 10 weeks after treatment. Breastfeeding - not recommended</w:t>
            </w:r>
          </w:p>
        </w:tc>
      </w:tr>
      <w:tr w:rsidR="00881714" w:rsidRPr="00884993" w14:paraId="44A67C8A" w14:textId="77777777" w:rsidTr="00941ACA">
        <w:trPr>
          <w:trHeight w:val="716"/>
        </w:trPr>
        <w:tc>
          <w:tcPr>
            <w:tcW w:w="3745" w:type="dxa"/>
            <w:shd w:val="clear" w:color="auto" w:fill="CCFFFF"/>
          </w:tcPr>
          <w:p w14:paraId="754E1E7B" w14:textId="77777777" w:rsidR="00881714" w:rsidRPr="00884993" w:rsidRDefault="00881714" w:rsidP="00881714">
            <w:pPr>
              <w:rPr>
                <w:sz w:val="22"/>
                <w:szCs w:val="22"/>
              </w:rPr>
            </w:pPr>
            <w:r w:rsidRPr="00884993">
              <w:rPr>
                <w:sz w:val="22"/>
                <w:szCs w:val="22"/>
              </w:rPr>
              <w:t>Assessment of Response:</w:t>
            </w:r>
          </w:p>
        </w:tc>
        <w:tc>
          <w:tcPr>
            <w:tcW w:w="5271" w:type="dxa"/>
            <w:shd w:val="clear" w:color="auto" w:fill="auto"/>
          </w:tcPr>
          <w:p w14:paraId="50F43BC9" w14:textId="77777777" w:rsidR="00881714" w:rsidRPr="00884993" w:rsidRDefault="00881714" w:rsidP="00881714">
            <w:pPr>
              <w:rPr>
                <w:sz w:val="22"/>
                <w:szCs w:val="22"/>
              </w:rPr>
            </w:pPr>
            <w:r w:rsidRPr="00BB0D06">
              <w:rPr>
                <w:sz w:val="22"/>
                <w:szCs w:val="22"/>
              </w:rPr>
              <w:t>NICE - PsARC 16 wk, 2 out of 4 incl</w:t>
            </w:r>
            <w:r>
              <w:rPr>
                <w:sz w:val="22"/>
                <w:szCs w:val="22"/>
              </w:rPr>
              <w:t xml:space="preserve"> joint tenderness and swelling</w:t>
            </w:r>
          </w:p>
        </w:tc>
      </w:tr>
      <w:tr w:rsidR="00881714" w:rsidRPr="00884993" w14:paraId="01761E64" w14:textId="77777777" w:rsidTr="00941ACA">
        <w:trPr>
          <w:trHeight w:val="1771"/>
        </w:trPr>
        <w:tc>
          <w:tcPr>
            <w:tcW w:w="3745" w:type="dxa"/>
            <w:shd w:val="clear" w:color="auto" w:fill="CCFFFF"/>
          </w:tcPr>
          <w:p w14:paraId="420490E6" w14:textId="77777777" w:rsidR="00881714" w:rsidRPr="00884993" w:rsidRDefault="00881714" w:rsidP="00881714">
            <w:pPr>
              <w:rPr>
                <w:sz w:val="22"/>
                <w:szCs w:val="22"/>
              </w:rPr>
            </w:pPr>
            <w:r w:rsidRPr="00884993">
              <w:rPr>
                <w:sz w:val="22"/>
                <w:szCs w:val="22"/>
              </w:rPr>
              <w:t>Baseline Tests:</w:t>
            </w:r>
          </w:p>
        </w:tc>
        <w:tc>
          <w:tcPr>
            <w:tcW w:w="5271" w:type="dxa"/>
            <w:shd w:val="clear" w:color="auto" w:fill="auto"/>
          </w:tcPr>
          <w:p w14:paraId="4437AE6E" w14:textId="77777777" w:rsidR="00881714" w:rsidRPr="00BB0D06" w:rsidRDefault="00881714" w:rsidP="00881714">
            <w:pPr>
              <w:widowControl w:val="0"/>
              <w:rPr>
                <w:sz w:val="22"/>
                <w:szCs w:val="22"/>
              </w:rPr>
            </w:pPr>
            <w:r w:rsidRPr="00BB0D06">
              <w:rPr>
                <w:sz w:val="22"/>
                <w:szCs w:val="22"/>
              </w:rPr>
              <w:t xml:space="preserve">FBC </w:t>
            </w:r>
          </w:p>
          <w:p w14:paraId="272B9ADD" w14:textId="77777777" w:rsidR="00881714" w:rsidRPr="00BB0D06" w:rsidRDefault="00881714" w:rsidP="00881714">
            <w:pPr>
              <w:widowControl w:val="0"/>
              <w:rPr>
                <w:sz w:val="22"/>
                <w:szCs w:val="22"/>
              </w:rPr>
            </w:pPr>
            <w:r w:rsidRPr="00BB0D06">
              <w:rPr>
                <w:sz w:val="22"/>
                <w:szCs w:val="22"/>
              </w:rPr>
              <w:t xml:space="preserve">LFT’s </w:t>
            </w:r>
          </w:p>
          <w:p w14:paraId="4EE0CF26" w14:textId="77777777" w:rsidR="00881714" w:rsidRPr="00BB0D06" w:rsidRDefault="00881714" w:rsidP="00881714">
            <w:pPr>
              <w:widowControl w:val="0"/>
              <w:rPr>
                <w:sz w:val="22"/>
                <w:szCs w:val="22"/>
              </w:rPr>
            </w:pPr>
            <w:r w:rsidRPr="00BB0D06">
              <w:rPr>
                <w:sz w:val="22"/>
                <w:szCs w:val="22"/>
              </w:rPr>
              <w:t>U&amp;E</w:t>
            </w:r>
          </w:p>
          <w:p w14:paraId="2177CDDB" w14:textId="77777777" w:rsidR="00881714" w:rsidRDefault="00881714" w:rsidP="00881714">
            <w:pPr>
              <w:widowControl w:val="0"/>
              <w:rPr>
                <w:sz w:val="22"/>
                <w:szCs w:val="22"/>
              </w:rPr>
            </w:pPr>
            <w:r>
              <w:rPr>
                <w:sz w:val="22"/>
                <w:szCs w:val="22"/>
              </w:rPr>
              <w:t xml:space="preserve">Consider </w:t>
            </w:r>
            <w:r w:rsidRPr="00BB0D06">
              <w:rPr>
                <w:sz w:val="22"/>
                <w:szCs w:val="22"/>
              </w:rPr>
              <w:t xml:space="preserve">CXR                        </w:t>
            </w:r>
          </w:p>
          <w:p w14:paraId="0C21175D" w14:textId="77777777" w:rsidR="00881714" w:rsidRPr="00BB0D06" w:rsidRDefault="00881714" w:rsidP="00881714">
            <w:pPr>
              <w:widowControl w:val="0"/>
              <w:rPr>
                <w:sz w:val="22"/>
                <w:szCs w:val="22"/>
              </w:rPr>
            </w:pPr>
            <w:r>
              <w:rPr>
                <w:sz w:val="22"/>
                <w:szCs w:val="22"/>
              </w:rPr>
              <w:t xml:space="preserve">Consider </w:t>
            </w:r>
            <w:r w:rsidRPr="00BB0D06">
              <w:rPr>
                <w:sz w:val="22"/>
                <w:szCs w:val="22"/>
              </w:rPr>
              <w:t>Hepatitis B and C</w:t>
            </w:r>
            <w:r>
              <w:rPr>
                <w:sz w:val="22"/>
                <w:szCs w:val="22"/>
              </w:rPr>
              <w:t xml:space="preserve">. quantiferon, </w:t>
            </w:r>
            <w:r w:rsidRPr="00BB0D06">
              <w:rPr>
                <w:sz w:val="22"/>
                <w:szCs w:val="22"/>
              </w:rPr>
              <w:t>HIV</w:t>
            </w:r>
            <w:r>
              <w:rPr>
                <w:sz w:val="22"/>
                <w:szCs w:val="22"/>
              </w:rPr>
              <w:t xml:space="preserve"> testing</w:t>
            </w:r>
          </w:p>
          <w:p w14:paraId="6C8A053A" w14:textId="77777777" w:rsidR="00881714" w:rsidRPr="00BB0D06" w:rsidRDefault="00881714" w:rsidP="00881714">
            <w:pPr>
              <w:widowControl w:val="0"/>
              <w:rPr>
                <w:sz w:val="22"/>
                <w:szCs w:val="22"/>
              </w:rPr>
            </w:pPr>
            <w:r>
              <w:rPr>
                <w:sz w:val="22"/>
                <w:szCs w:val="22"/>
              </w:rPr>
              <w:t xml:space="preserve">Consider </w:t>
            </w:r>
            <w:r w:rsidRPr="00BB0D06">
              <w:rPr>
                <w:sz w:val="22"/>
                <w:szCs w:val="22"/>
              </w:rPr>
              <w:t>Urinalysis</w:t>
            </w:r>
          </w:p>
          <w:p w14:paraId="05F775FD" w14:textId="77777777" w:rsidR="00881714" w:rsidRPr="00884993" w:rsidRDefault="00881714" w:rsidP="00881714">
            <w:pPr>
              <w:rPr>
                <w:sz w:val="22"/>
                <w:szCs w:val="22"/>
              </w:rPr>
            </w:pPr>
            <w:r w:rsidRPr="00BB0D06">
              <w:rPr>
                <w:sz w:val="22"/>
                <w:szCs w:val="22"/>
              </w:rPr>
              <w:t>*Consider pregnancy test</w:t>
            </w:r>
          </w:p>
        </w:tc>
      </w:tr>
      <w:tr w:rsidR="00881714" w:rsidRPr="00884993" w14:paraId="54D23709" w14:textId="77777777" w:rsidTr="00941ACA">
        <w:trPr>
          <w:trHeight w:val="421"/>
        </w:trPr>
        <w:tc>
          <w:tcPr>
            <w:tcW w:w="3745" w:type="dxa"/>
            <w:shd w:val="clear" w:color="auto" w:fill="CCFFFF"/>
          </w:tcPr>
          <w:p w14:paraId="2B788DA3" w14:textId="77777777" w:rsidR="00881714" w:rsidRPr="00884993" w:rsidRDefault="00881714" w:rsidP="00881714">
            <w:pPr>
              <w:rPr>
                <w:sz w:val="22"/>
                <w:szCs w:val="22"/>
              </w:rPr>
            </w:pPr>
            <w:r w:rsidRPr="00884993">
              <w:rPr>
                <w:sz w:val="22"/>
                <w:szCs w:val="22"/>
              </w:rPr>
              <w:t>Routine Monitoring:</w:t>
            </w:r>
          </w:p>
        </w:tc>
        <w:tc>
          <w:tcPr>
            <w:tcW w:w="5271" w:type="dxa"/>
            <w:shd w:val="clear" w:color="auto" w:fill="auto"/>
          </w:tcPr>
          <w:p w14:paraId="4ADE7F9B" w14:textId="5246E00C" w:rsidR="00881714" w:rsidRPr="00884993" w:rsidRDefault="00881714" w:rsidP="00301B71">
            <w:pPr>
              <w:rPr>
                <w:sz w:val="22"/>
                <w:szCs w:val="22"/>
              </w:rPr>
            </w:pPr>
            <w:r w:rsidRPr="00121820">
              <w:rPr>
                <w:sz w:val="22"/>
                <w:szCs w:val="22"/>
              </w:rPr>
              <w:t>FBC</w:t>
            </w:r>
            <w:r>
              <w:rPr>
                <w:sz w:val="22"/>
                <w:szCs w:val="22"/>
              </w:rPr>
              <w:t xml:space="preserve"> </w:t>
            </w:r>
            <w:r w:rsidR="00301B71">
              <w:rPr>
                <w:sz w:val="22"/>
                <w:szCs w:val="22"/>
              </w:rPr>
              <w:t xml:space="preserve"> is recommended </w:t>
            </w:r>
            <w:r>
              <w:rPr>
                <w:sz w:val="22"/>
                <w:szCs w:val="22"/>
              </w:rPr>
              <w:t>6 monthly or</w:t>
            </w:r>
            <w:r w:rsidRPr="00121820">
              <w:rPr>
                <w:sz w:val="22"/>
                <w:szCs w:val="22"/>
              </w:rPr>
              <w:t xml:space="preserve"> if symptomatic</w:t>
            </w:r>
            <w:r>
              <w:rPr>
                <w:sz w:val="22"/>
                <w:szCs w:val="22"/>
              </w:rPr>
              <w:t xml:space="preserve"> </w:t>
            </w:r>
          </w:p>
        </w:tc>
      </w:tr>
      <w:tr w:rsidR="00881714" w:rsidRPr="00884993" w14:paraId="5757F41A" w14:textId="77777777" w:rsidTr="00941ACA">
        <w:trPr>
          <w:trHeight w:val="1912"/>
        </w:trPr>
        <w:tc>
          <w:tcPr>
            <w:tcW w:w="3745" w:type="dxa"/>
            <w:shd w:val="clear" w:color="auto" w:fill="CCFFFF"/>
          </w:tcPr>
          <w:p w14:paraId="1F962EA3" w14:textId="77777777" w:rsidR="00881714" w:rsidRPr="00884993" w:rsidRDefault="00881714" w:rsidP="00881714">
            <w:pPr>
              <w:rPr>
                <w:sz w:val="22"/>
                <w:szCs w:val="22"/>
              </w:rPr>
            </w:pPr>
            <w:r w:rsidRPr="00884993">
              <w:rPr>
                <w:sz w:val="22"/>
                <w:szCs w:val="22"/>
              </w:rPr>
              <w:t xml:space="preserve">Indications for Stopping Therapy: </w:t>
            </w:r>
          </w:p>
        </w:tc>
        <w:tc>
          <w:tcPr>
            <w:tcW w:w="5271" w:type="dxa"/>
            <w:shd w:val="clear" w:color="auto" w:fill="auto"/>
          </w:tcPr>
          <w:p w14:paraId="5F87D8F0" w14:textId="77777777" w:rsidR="00881714" w:rsidRPr="006E04A0" w:rsidRDefault="00881714" w:rsidP="00881714">
            <w:pPr>
              <w:widowControl w:val="0"/>
              <w:rPr>
                <w:sz w:val="22"/>
                <w:szCs w:val="22"/>
              </w:rPr>
            </w:pPr>
            <w:r w:rsidRPr="006E04A0">
              <w:rPr>
                <w:sz w:val="22"/>
                <w:szCs w:val="22"/>
                <w:highlight w:val="white"/>
              </w:rPr>
              <w:t xml:space="preserve">ANC &lt;1.0 x </w:t>
            </w:r>
            <w:r w:rsidRPr="006E04A0">
              <w:rPr>
                <w:sz w:val="22"/>
                <w:szCs w:val="22"/>
              </w:rPr>
              <w:t>10</w:t>
            </w:r>
            <w:r w:rsidRPr="006E04A0">
              <w:rPr>
                <w:sz w:val="22"/>
                <w:szCs w:val="22"/>
                <w:vertAlign w:val="superscript"/>
              </w:rPr>
              <w:t>9</w:t>
            </w:r>
            <w:r w:rsidRPr="006E04A0">
              <w:rPr>
                <w:sz w:val="22"/>
                <w:szCs w:val="22"/>
              </w:rPr>
              <w:t>cells/L</w:t>
            </w:r>
          </w:p>
          <w:p w14:paraId="799A5217" w14:textId="77777777" w:rsidR="00881714" w:rsidRPr="006E04A0" w:rsidRDefault="00881714" w:rsidP="00881714">
            <w:pPr>
              <w:widowControl w:val="0"/>
              <w:rPr>
                <w:sz w:val="22"/>
                <w:szCs w:val="22"/>
              </w:rPr>
            </w:pPr>
            <w:r w:rsidRPr="006E04A0">
              <w:rPr>
                <w:sz w:val="22"/>
                <w:szCs w:val="22"/>
              </w:rPr>
              <w:t>Platelets 50-100 x 10</w:t>
            </w:r>
            <w:r w:rsidRPr="006E04A0">
              <w:rPr>
                <w:sz w:val="22"/>
                <w:szCs w:val="22"/>
                <w:vertAlign w:val="superscript"/>
              </w:rPr>
              <w:t>9</w:t>
            </w:r>
            <w:r w:rsidRPr="006E04A0">
              <w:rPr>
                <w:sz w:val="22"/>
                <w:szCs w:val="22"/>
              </w:rPr>
              <w:t>cells/L</w:t>
            </w:r>
          </w:p>
          <w:p w14:paraId="304C3391" w14:textId="77777777" w:rsidR="00881714" w:rsidRPr="006E04A0" w:rsidRDefault="00881714" w:rsidP="00881714">
            <w:pPr>
              <w:widowControl w:val="0"/>
              <w:rPr>
                <w:sz w:val="22"/>
                <w:szCs w:val="22"/>
                <w:highlight w:val="white"/>
              </w:rPr>
            </w:pPr>
            <w:r w:rsidRPr="006E04A0">
              <w:rPr>
                <w:sz w:val="22"/>
                <w:szCs w:val="22"/>
                <w:highlight w:val="white"/>
              </w:rPr>
              <w:t xml:space="preserve">Serious infection Or chronic infection not responding to standard treatment </w:t>
            </w:r>
          </w:p>
          <w:p w14:paraId="76631B36" w14:textId="77777777" w:rsidR="00881714" w:rsidRPr="006E04A0" w:rsidRDefault="00881714" w:rsidP="00881714">
            <w:pPr>
              <w:widowControl w:val="0"/>
              <w:rPr>
                <w:sz w:val="22"/>
                <w:szCs w:val="22"/>
                <w:highlight w:val="white"/>
              </w:rPr>
            </w:pPr>
            <w:r w:rsidRPr="006E04A0">
              <w:rPr>
                <w:sz w:val="22"/>
                <w:szCs w:val="22"/>
                <w:highlight w:val="white"/>
              </w:rPr>
              <w:t>suspected hypersensitivity reaction (injection site rash, rash, urticaria, dyspnoea)</w:t>
            </w:r>
          </w:p>
          <w:p w14:paraId="5317E924" w14:textId="77777777" w:rsidR="00881714" w:rsidRPr="00884993" w:rsidRDefault="00881714" w:rsidP="00881714">
            <w:pPr>
              <w:rPr>
                <w:sz w:val="22"/>
                <w:szCs w:val="22"/>
              </w:rPr>
            </w:pPr>
            <w:r w:rsidRPr="006E04A0">
              <w:rPr>
                <w:sz w:val="22"/>
                <w:szCs w:val="22"/>
                <w:highlight w:val="white"/>
              </w:rPr>
              <w:t>Worsening of Crohn’s/UC.</w:t>
            </w:r>
          </w:p>
        </w:tc>
      </w:tr>
      <w:tr w:rsidR="00881714" w:rsidRPr="00884993" w14:paraId="23305B8F" w14:textId="77777777" w:rsidTr="00941ACA">
        <w:trPr>
          <w:trHeight w:val="1667"/>
        </w:trPr>
        <w:tc>
          <w:tcPr>
            <w:tcW w:w="9016" w:type="dxa"/>
            <w:gridSpan w:val="2"/>
            <w:shd w:val="clear" w:color="auto" w:fill="auto"/>
          </w:tcPr>
          <w:p w14:paraId="643C641B" w14:textId="77777777" w:rsidR="00881714" w:rsidRPr="00884993" w:rsidRDefault="00881714" w:rsidP="00881714">
            <w:pPr>
              <w:rPr>
                <w:sz w:val="22"/>
                <w:szCs w:val="22"/>
              </w:rPr>
            </w:pPr>
            <w:r w:rsidRPr="00884993">
              <w:rPr>
                <w:sz w:val="22"/>
                <w:szCs w:val="22"/>
              </w:rPr>
              <w:t>Please refer to licensed datasheet for more comprehensive prescribing information:</w:t>
            </w:r>
          </w:p>
          <w:p w14:paraId="7BD957C4" w14:textId="77777777" w:rsidR="00881714" w:rsidRDefault="00323D19" w:rsidP="00881714">
            <w:pPr>
              <w:widowControl w:val="0"/>
              <w:rPr>
                <w:sz w:val="22"/>
                <w:szCs w:val="22"/>
              </w:rPr>
            </w:pPr>
            <w:hyperlink r:id="rId103" w:history="1">
              <w:r w:rsidR="00881714" w:rsidRPr="0091271E">
                <w:rPr>
                  <w:rStyle w:val="Hyperlink"/>
                  <w:sz w:val="22"/>
                  <w:szCs w:val="22"/>
                </w:rPr>
                <w:t>https://www.medicines.org.uk/emc/product/7233/smpc</w:t>
              </w:r>
            </w:hyperlink>
          </w:p>
          <w:p w14:paraId="5C08F2FC" w14:textId="77777777" w:rsidR="00881714" w:rsidRPr="00884993" w:rsidRDefault="00881714" w:rsidP="00881714">
            <w:pPr>
              <w:rPr>
                <w:sz w:val="22"/>
                <w:szCs w:val="22"/>
              </w:rPr>
            </w:pPr>
          </w:p>
          <w:p w14:paraId="5E5EA641" w14:textId="77777777" w:rsidR="00881714" w:rsidRPr="00884993" w:rsidRDefault="00881714" w:rsidP="00881714">
            <w:pPr>
              <w:rPr>
                <w:sz w:val="22"/>
                <w:szCs w:val="22"/>
              </w:rPr>
            </w:pPr>
          </w:p>
          <w:p w14:paraId="701CFD5A" w14:textId="77777777" w:rsidR="00881714" w:rsidRPr="00884993" w:rsidRDefault="00881714" w:rsidP="00881714">
            <w:pPr>
              <w:rPr>
                <w:sz w:val="22"/>
                <w:szCs w:val="22"/>
              </w:rPr>
            </w:pPr>
          </w:p>
        </w:tc>
      </w:tr>
    </w:tbl>
    <w:p w14:paraId="1DB31943" w14:textId="77777777" w:rsidR="00492B26" w:rsidRDefault="00492B26" w:rsidP="00492B26">
      <w:pPr>
        <w:overflowPunct/>
        <w:autoSpaceDE/>
        <w:autoSpaceDN/>
        <w:adjustRightInd/>
        <w:spacing w:after="160" w:line="259" w:lineRule="auto"/>
        <w:textAlignment w:val="auto"/>
      </w:pPr>
    </w:p>
    <w:p w14:paraId="6D1B1336" w14:textId="19193A57" w:rsidR="00941ACA" w:rsidRDefault="00941ACA">
      <w:pPr>
        <w:overflowPunct/>
        <w:autoSpaceDE/>
        <w:autoSpaceDN/>
        <w:adjustRightInd/>
        <w:spacing w:after="160" w:line="259" w:lineRule="auto"/>
        <w:textAlignment w:val="auto"/>
        <w:rPr>
          <w:rFonts w:eastAsia="Arial Unicode MS" w:cstheme="majorBidi"/>
          <w:b/>
          <w:sz w:val="26"/>
          <w:szCs w:val="26"/>
        </w:rPr>
      </w:pPr>
      <w:r>
        <w:rPr>
          <w:rFonts w:eastAsia="Arial Unicode MS"/>
        </w:rPr>
        <w:br w:type="page"/>
      </w:r>
    </w:p>
    <w:p w14:paraId="3C01C972" w14:textId="19193A57" w:rsidR="00492B26" w:rsidRDefault="00CF234C" w:rsidP="00492B26">
      <w:pPr>
        <w:pStyle w:val="Heading2"/>
        <w:rPr>
          <w:rFonts w:eastAsia="Arial Unicode MS"/>
        </w:rPr>
      </w:pPr>
      <w:bookmarkStart w:id="32" w:name="_Toc531873944"/>
      <w:r>
        <w:rPr>
          <w:rFonts w:eastAsia="Arial Unicode MS"/>
        </w:rPr>
        <w:lastRenderedPageBreak/>
        <w:t>Sarilumab (Kevzara</w:t>
      </w:r>
      <w:r>
        <w:rPr>
          <w:rFonts w:ascii="MS Gothic" w:eastAsia="MS Gothic" w:hAnsi="MS Gothic" w:cs="MS Gothic" w:hint="eastAsia"/>
        </w:rPr>
        <w:t>Ⓡ</w:t>
      </w:r>
      <w:r>
        <w:rPr>
          <w:rFonts w:eastAsia="Arial Unicode MS"/>
        </w:rPr>
        <w:t>)</w:t>
      </w:r>
      <w:bookmarkEnd w:id="32"/>
    </w:p>
    <w:tbl>
      <w:tblPr>
        <w:tblpPr w:leftFromText="180" w:rightFromText="180" w:vertAnchor="page" w:horzAnchor="margin" w:tblpY="207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5271"/>
      </w:tblGrid>
      <w:tr w:rsidR="00C63F80" w:rsidRPr="00884993" w14:paraId="5942F34B" w14:textId="77777777" w:rsidTr="00C63F80">
        <w:trPr>
          <w:trHeight w:val="480"/>
        </w:trPr>
        <w:tc>
          <w:tcPr>
            <w:tcW w:w="3745" w:type="dxa"/>
            <w:shd w:val="clear" w:color="auto" w:fill="CCFFFF"/>
          </w:tcPr>
          <w:p w14:paraId="0DA1030A" w14:textId="77777777" w:rsidR="00C63F80" w:rsidRPr="00884993" w:rsidRDefault="00C63F80" w:rsidP="00C63F80">
            <w:pPr>
              <w:rPr>
                <w:sz w:val="22"/>
                <w:szCs w:val="22"/>
              </w:rPr>
            </w:pPr>
            <w:r w:rsidRPr="00884993">
              <w:rPr>
                <w:sz w:val="22"/>
                <w:szCs w:val="22"/>
              </w:rPr>
              <w:t>Therapeutic class:</w:t>
            </w:r>
          </w:p>
        </w:tc>
        <w:tc>
          <w:tcPr>
            <w:tcW w:w="5271" w:type="dxa"/>
            <w:shd w:val="clear" w:color="auto" w:fill="auto"/>
          </w:tcPr>
          <w:p w14:paraId="74FE4250" w14:textId="77777777" w:rsidR="00C63F80" w:rsidRPr="00884993" w:rsidRDefault="00C63F80" w:rsidP="00C63F80">
            <w:pPr>
              <w:rPr>
                <w:sz w:val="22"/>
                <w:szCs w:val="22"/>
              </w:rPr>
            </w:pPr>
            <w:r>
              <w:rPr>
                <w:color w:val="000000"/>
                <w:kern w:val="24"/>
                <w:sz w:val="22"/>
                <w:szCs w:val="22"/>
                <w:lang w:eastAsia="en-GB"/>
              </w:rPr>
              <w:t>IgG1 subtype</w:t>
            </w:r>
            <w:r w:rsidRPr="00C97D00">
              <w:rPr>
                <w:color w:val="000000"/>
                <w:kern w:val="24"/>
                <w:sz w:val="22"/>
                <w:szCs w:val="22"/>
                <w:lang w:eastAsia="en-GB"/>
              </w:rPr>
              <w:t xml:space="preserve"> that specifically binds to both soluble and membrane-bound IL-6 receptors (IL-6Rα)</w:t>
            </w:r>
          </w:p>
        </w:tc>
      </w:tr>
      <w:tr w:rsidR="00C63F80" w:rsidRPr="00884993" w14:paraId="1075691E" w14:textId="77777777" w:rsidTr="00C63F80">
        <w:trPr>
          <w:trHeight w:val="603"/>
        </w:trPr>
        <w:tc>
          <w:tcPr>
            <w:tcW w:w="3745" w:type="dxa"/>
            <w:shd w:val="clear" w:color="auto" w:fill="CCFFFF"/>
          </w:tcPr>
          <w:p w14:paraId="787C6460" w14:textId="77777777" w:rsidR="00C63F80" w:rsidRPr="00884993" w:rsidRDefault="00C63F80" w:rsidP="00C63F80">
            <w:pPr>
              <w:rPr>
                <w:sz w:val="22"/>
                <w:szCs w:val="22"/>
              </w:rPr>
            </w:pPr>
            <w:r w:rsidRPr="00884993">
              <w:rPr>
                <w:sz w:val="22"/>
                <w:szCs w:val="22"/>
              </w:rPr>
              <w:t>Licensed Dose:</w:t>
            </w:r>
          </w:p>
        </w:tc>
        <w:tc>
          <w:tcPr>
            <w:tcW w:w="5271" w:type="dxa"/>
            <w:shd w:val="clear" w:color="auto" w:fill="auto"/>
          </w:tcPr>
          <w:p w14:paraId="5723B8CD" w14:textId="77777777" w:rsidR="00C63F80" w:rsidRPr="00884993" w:rsidRDefault="00C63F80" w:rsidP="00C63F80">
            <w:pPr>
              <w:widowControl w:val="0"/>
              <w:rPr>
                <w:sz w:val="22"/>
                <w:szCs w:val="22"/>
              </w:rPr>
            </w:pPr>
            <w:r w:rsidRPr="00BB0D06">
              <w:rPr>
                <w:b/>
                <w:sz w:val="22"/>
                <w:szCs w:val="22"/>
              </w:rPr>
              <w:t xml:space="preserve">RA </w:t>
            </w:r>
            <w:r w:rsidRPr="00BB0D06">
              <w:rPr>
                <w:sz w:val="22"/>
                <w:szCs w:val="22"/>
              </w:rPr>
              <w:t>- 200mg sc once eve</w:t>
            </w:r>
            <w:r>
              <w:rPr>
                <w:sz w:val="22"/>
                <w:szCs w:val="22"/>
              </w:rPr>
              <w:t xml:space="preserve">ry 2 weeks (with/without mtx). </w:t>
            </w:r>
            <w:r w:rsidRPr="00BB0D06">
              <w:rPr>
                <w:sz w:val="22"/>
                <w:szCs w:val="22"/>
                <w:highlight w:val="white"/>
              </w:rPr>
              <w:t>150 mg once every 2 weeks is recommended for mana</w:t>
            </w:r>
            <w:r>
              <w:rPr>
                <w:sz w:val="22"/>
                <w:szCs w:val="22"/>
                <w:highlight w:val="white"/>
              </w:rPr>
              <w:t>gement i</w:t>
            </w:r>
            <w:r w:rsidRPr="00BB0D06">
              <w:rPr>
                <w:sz w:val="22"/>
                <w:szCs w:val="22"/>
                <w:highlight w:val="white"/>
              </w:rPr>
              <w:t xml:space="preserve">f neutropenia, thrombocytopenia, </w:t>
            </w:r>
            <w:r>
              <w:rPr>
                <w:sz w:val="22"/>
                <w:szCs w:val="22"/>
                <w:highlight w:val="white"/>
              </w:rPr>
              <w:t>or</w:t>
            </w:r>
            <w:r w:rsidRPr="00BB0D06">
              <w:rPr>
                <w:sz w:val="22"/>
                <w:szCs w:val="22"/>
                <w:highlight w:val="white"/>
              </w:rPr>
              <w:t xml:space="preserve"> liver enzyme elevations.</w:t>
            </w:r>
          </w:p>
        </w:tc>
      </w:tr>
      <w:tr w:rsidR="00C63F80" w:rsidRPr="00884993" w14:paraId="0EB1CBED" w14:textId="77777777" w:rsidTr="00C63F80">
        <w:trPr>
          <w:trHeight w:val="291"/>
        </w:trPr>
        <w:tc>
          <w:tcPr>
            <w:tcW w:w="3745" w:type="dxa"/>
            <w:shd w:val="clear" w:color="auto" w:fill="CCFFFF"/>
          </w:tcPr>
          <w:p w14:paraId="034E52CF" w14:textId="77777777" w:rsidR="00C63F80" w:rsidRPr="00884993" w:rsidRDefault="00C63F80" w:rsidP="00C63F80">
            <w:pPr>
              <w:rPr>
                <w:sz w:val="22"/>
                <w:szCs w:val="22"/>
              </w:rPr>
            </w:pPr>
            <w:r w:rsidRPr="00884993">
              <w:rPr>
                <w:sz w:val="22"/>
                <w:szCs w:val="22"/>
              </w:rPr>
              <w:t>NICE Guidance:</w:t>
            </w:r>
          </w:p>
        </w:tc>
        <w:tc>
          <w:tcPr>
            <w:tcW w:w="5271" w:type="dxa"/>
            <w:shd w:val="clear" w:color="auto" w:fill="auto"/>
          </w:tcPr>
          <w:p w14:paraId="6ECB776F" w14:textId="77777777" w:rsidR="00C63F80" w:rsidRPr="00586C73" w:rsidRDefault="00323D19" w:rsidP="00C63F80">
            <w:pPr>
              <w:rPr>
                <w:sz w:val="22"/>
                <w:szCs w:val="22"/>
              </w:rPr>
            </w:pPr>
            <w:hyperlink r:id="rId104" w:history="1">
              <w:r w:rsidR="00C63F80" w:rsidRPr="00027BF1">
                <w:rPr>
                  <w:rStyle w:val="Hyperlink"/>
                  <w:sz w:val="22"/>
                  <w:szCs w:val="22"/>
                </w:rPr>
                <w:t>T</w:t>
              </w:r>
              <w:hyperlink r:id="rId105" w:history="1">
                <w:r w:rsidR="00C63F80" w:rsidRPr="001C116E">
                  <w:rPr>
                    <w:rStyle w:val="Hyperlink"/>
                    <w:kern w:val="24"/>
                    <w:sz w:val="22"/>
                    <w:szCs w:val="22"/>
                    <w:lang w:eastAsia="en-GB"/>
                  </w:rPr>
                  <w:t>TA485</w:t>
                </w:r>
              </w:hyperlink>
            </w:hyperlink>
          </w:p>
        </w:tc>
      </w:tr>
      <w:tr w:rsidR="00C63F80" w:rsidRPr="00884993" w14:paraId="24A6CDEA" w14:textId="77777777" w:rsidTr="00C63F80">
        <w:trPr>
          <w:trHeight w:val="291"/>
        </w:trPr>
        <w:tc>
          <w:tcPr>
            <w:tcW w:w="3745" w:type="dxa"/>
            <w:shd w:val="clear" w:color="auto" w:fill="CCFFFF"/>
          </w:tcPr>
          <w:p w14:paraId="55E8EB2F" w14:textId="77777777" w:rsidR="00C63F80" w:rsidRPr="00884993" w:rsidRDefault="00C63F80" w:rsidP="00C63F80">
            <w:pPr>
              <w:rPr>
                <w:sz w:val="22"/>
                <w:szCs w:val="22"/>
              </w:rPr>
            </w:pPr>
            <w:r>
              <w:rPr>
                <w:sz w:val="22"/>
                <w:szCs w:val="22"/>
              </w:rPr>
              <w:t>Renal/hepatic impairment/</w:t>
            </w:r>
            <w:r w:rsidRPr="00BB0D06">
              <w:rPr>
                <w:sz w:val="22"/>
                <w:szCs w:val="22"/>
              </w:rPr>
              <w:t>Elderly</w:t>
            </w:r>
          </w:p>
        </w:tc>
        <w:tc>
          <w:tcPr>
            <w:tcW w:w="5271" w:type="dxa"/>
            <w:shd w:val="clear" w:color="auto" w:fill="auto"/>
          </w:tcPr>
          <w:p w14:paraId="63934ABB" w14:textId="77777777" w:rsidR="00C63F80" w:rsidRDefault="00C63F80" w:rsidP="00C63F80">
            <w:pPr>
              <w:rPr>
                <w:rStyle w:val="Hyperlink"/>
                <w:sz w:val="22"/>
                <w:szCs w:val="22"/>
              </w:rPr>
            </w:pPr>
            <w:r w:rsidRPr="00BB0D06">
              <w:rPr>
                <w:sz w:val="22"/>
                <w:szCs w:val="22"/>
              </w:rPr>
              <w:t>No dose adjustment</w:t>
            </w:r>
          </w:p>
        </w:tc>
      </w:tr>
      <w:tr w:rsidR="00C63F80" w:rsidRPr="00884993" w14:paraId="54F24990" w14:textId="77777777" w:rsidTr="00C63F80">
        <w:trPr>
          <w:trHeight w:val="716"/>
        </w:trPr>
        <w:tc>
          <w:tcPr>
            <w:tcW w:w="3745" w:type="dxa"/>
            <w:shd w:val="clear" w:color="auto" w:fill="CCFFFF"/>
          </w:tcPr>
          <w:p w14:paraId="2E3645A7" w14:textId="77777777" w:rsidR="00C63F80" w:rsidRPr="00884993" w:rsidRDefault="00C63F80" w:rsidP="00C63F80">
            <w:pPr>
              <w:rPr>
                <w:sz w:val="22"/>
                <w:szCs w:val="22"/>
              </w:rPr>
            </w:pPr>
            <w:r w:rsidRPr="00884993">
              <w:rPr>
                <w:sz w:val="22"/>
                <w:szCs w:val="22"/>
              </w:rPr>
              <w:t>Warnings/Contra-indications/Significant drug interactions:</w:t>
            </w:r>
          </w:p>
          <w:p w14:paraId="731AE19F" w14:textId="77777777" w:rsidR="00C63F80" w:rsidRPr="00884993" w:rsidRDefault="00C63F80" w:rsidP="00C63F80">
            <w:pPr>
              <w:rPr>
                <w:sz w:val="22"/>
                <w:szCs w:val="22"/>
              </w:rPr>
            </w:pPr>
            <w:r w:rsidRPr="00884993">
              <w:rPr>
                <w:sz w:val="22"/>
                <w:szCs w:val="22"/>
              </w:rPr>
              <w:t>(*Refer to licensed datasheet for special warnings)</w:t>
            </w:r>
          </w:p>
        </w:tc>
        <w:tc>
          <w:tcPr>
            <w:tcW w:w="5271" w:type="dxa"/>
            <w:shd w:val="clear" w:color="auto" w:fill="auto"/>
          </w:tcPr>
          <w:p w14:paraId="694E7550" w14:textId="77777777" w:rsidR="00C63F80" w:rsidRPr="00BB0D06" w:rsidRDefault="00C63F80" w:rsidP="00C63F80">
            <w:pPr>
              <w:widowControl w:val="0"/>
              <w:rPr>
                <w:sz w:val="22"/>
                <w:szCs w:val="22"/>
              </w:rPr>
            </w:pPr>
            <w:r w:rsidRPr="00BB0D06">
              <w:rPr>
                <w:sz w:val="22"/>
                <w:szCs w:val="22"/>
              </w:rPr>
              <w:t>Risk of hypersensitivity reaction - counsel patients</w:t>
            </w:r>
          </w:p>
          <w:p w14:paraId="01F77547" w14:textId="77777777" w:rsidR="00C63F80" w:rsidRPr="00BB0D06" w:rsidRDefault="00C63F80" w:rsidP="00C63F80">
            <w:pPr>
              <w:widowControl w:val="0"/>
              <w:rPr>
                <w:sz w:val="22"/>
                <w:szCs w:val="22"/>
              </w:rPr>
            </w:pPr>
            <w:r w:rsidRPr="00BB0D06">
              <w:rPr>
                <w:sz w:val="22"/>
                <w:szCs w:val="22"/>
              </w:rPr>
              <w:t>Not in active infection (incl. localised)</w:t>
            </w:r>
          </w:p>
          <w:p w14:paraId="0D5AD7E6" w14:textId="77777777" w:rsidR="00C63F80" w:rsidRPr="00BB0D06" w:rsidRDefault="00C63F80" w:rsidP="00C63F80">
            <w:pPr>
              <w:widowControl w:val="0"/>
              <w:rPr>
                <w:sz w:val="22"/>
                <w:szCs w:val="22"/>
              </w:rPr>
            </w:pPr>
            <w:r w:rsidRPr="00BB0D06">
              <w:rPr>
                <w:sz w:val="22"/>
                <w:szCs w:val="22"/>
              </w:rPr>
              <w:t>Serious infection risk (bacterial, fungal, viral &amp; opportunistic) - caution chronic/recurrent infection hx.</w:t>
            </w:r>
          </w:p>
          <w:p w14:paraId="71194162" w14:textId="77777777" w:rsidR="00C63F80" w:rsidRPr="00BB0D06" w:rsidRDefault="00C63F80" w:rsidP="00C63F80">
            <w:pPr>
              <w:widowControl w:val="0"/>
              <w:rPr>
                <w:sz w:val="22"/>
                <w:szCs w:val="22"/>
              </w:rPr>
            </w:pPr>
            <w:r w:rsidRPr="00BB0D06">
              <w:rPr>
                <w:sz w:val="22"/>
                <w:szCs w:val="22"/>
              </w:rPr>
              <w:t xml:space="preserve">Risk </w:t>
            </w:r>
            <w:r>
              <w:rPr>
                <w:sz w:val="22"/>
                <w:szCs w:val="22"/>
              </w:rPr>
              <w:t>colonic</w:t>
            </w:r>
            <w:r w:rsidRPr="00BB0D06">
              <w:rPr>
                <w:sz w:val="22"/>
                <w:szCs w:val="22"/>
              </w:rPr>
              <w:t xml:space="preserve"> perforation (caution diverticulitis) - promptly evaluate abdominal symptoms</w:t>
            </w:r>
          </w:p>
          <w:p w14:paraId="70EE5199" w14:textId="77777777" w:rsidR="00C63F80" w:rsidRDefault="00C63F80" w:rsidP="00C63F80">
            <w:pPr>
              <w:rPr>
                <w:sz w:val="22"/>
                <w:szCs w:val="22"/>
              </w:rPr>
            </w:pPr>
            <w:r>
              <w:rPr>
                <w:sz w:val="22"/>
                <w:szCs w:val="22"/>
              </w:rPr>
              <w:t>Is</w:t>
            </w:r>
            <w:r w:rsidRPr="00BB0D06">
              <w:rPr>
                <w:sz w:val="22"/>
                <w:szCs w:val="22"/>
              </w:rPr>
              <w:t xml:space="preserve"> associated with low ANC and/o</w:t>
            </w:r>
            <w:r>
              <w:rPr>
                <w:sz w:val="22"/>
                <w:szCs w:val="22"/>
              </w:rPr>
              <w:t xml:space="preserve">r platelets plus </w:t>
            </w:r>
            <w:r w:rsidRPr="00E234C7">
              <w:rPr>
                <w:sz w:val="22"/>
                <w:szCs w:val="22"/>
              </w:rPr>
              <w:t>abnormal LFT’s – use contraindicated if ANC &lt;2.0 x 10</w:t>
            </w:r>
            <w:r w:rsidRPr="00E234C7">
              <w:rPr>
                <w:sz w:val="22"/>
                <w:szCs w:val="22"/>
                <w:vertAlign w:val="superscript"/>
              </w:rPr>
              <w:t>9</w:t>
            </w:r>
            <w:r w:rsidRPr="00E234C7">
              <w:rPr>
                <w:sz w:val="22"/>
                <w:szCs w:val="22"/>
              </w:rPr>
              <w:t>cells/L, Platelets &lt; 150 x 10</w:t>
            </w:r>
            <w:r w:rsidRPr="00E234C7">
              <w:rPr>
                <w:sz w:val="22"/>
                <w:szCs w:val="22"/>
                <w:vertAlign w:val="superscript"/>
              </w:rPr>
              <w:t>9</w:t>
            </w:r>
            <w:r w:rsidRPr="00E234C7">
              <w:rPr>
                <w:sz w:val="22"/>
                <w:szCs w:val="22"/>
              </w:rPr>
              <w:t xml:space="preserve">cells/L, </w:t>
            </w:r>
            <w:r>
              <w:rPr>
                <w:sz w:val="22"/>
                <w:szCs w:val="22"/>
              </w:rPr>
              <w:t xml:space="preserve">initiating </w:t>
            </w:r>
            <w:r w:rsidRPr="00E234C7">
              <w:rPr>
                <w:sz w:val="22"/>
                <w:szCs w:val="22"/>
              </w:rPr>
              <w:t>AST/ALT 1.5 X ULN</w:t>
            </w:r>
            <w:r>
              <w:rPr>
                <w:sz w:val="22"/>
                <w:szCs w:val="22"/>
              </w:rPr>
              <w:t xml:space="preserve"> or halting at x5 ULN</w:t>
            </w:r>
            <w:r w:rsidRPr="00E234C7">
              <w:rPr>
                <w:sz w:val="22"/>
                <w:szCs w:val="22"/>
              </w:rPr>
              <w:t>)</w:t>
            </w:r>
          </w:p>
          <w:p w14:paraId="01BD444F" w14:textId="77777777" w:rsidR="00C63F80" w:rsidRPr="00884993" w:rsidRDefault="00C63F80" w:rsidP="00C63F80">
            <w:pPr>
              <w:rPr>
                <w:sz w:val="22"/>
                <w:szCs w:val="22"/>
              </w:rPr>
            </w:pPr>
            <w:r>
              <w:rPr>
                <w:sz w:val="22"/>
                <w:szCs w:val="22"/>
                <w:highlight w:val="white"/>
              </w:rPr>
              <w:t>Manufacturer advises</w:t>
            </w:r>
            <w:r w:rsidRPr="00BB0D06">
              <w:rPr>
                <w:sz w:val="22"/>
                <w:szCs w:val="22"/>
                <w:highlight w:val="white"/>
              </w:rPr>
              <w:t xml:space="preserve"> </w:t>
            </w:r>
            <w:r>
              <w:rPr>
                <w:sz w:val="22"/>
                <w:szCs w:val="22"/>
                <w:highlight w:val="white"/>
              </w:rPr>
              <w:t>avoid with</w:t>
            </w:r>
            <w:r w:rsidRPr="00BB0D06">
              <w:rPr>
                <w:sz w:val="22"/>
                <w:szCs w:val="22"/>
                <w:highlight w:val="white"/>
              </w:rPr>
              <w:t xml:space="preserve"> live vaccines</w:t>
            </w:r>
          </w:p>
        </w:tc>
      </w:tr>
      <w:tr w:rsidR="00C63F80" w:rsidRPr="00884993" w14:paraId="332E08F5" w14:textId="77777777" w:rsidTr="00C63F80">
        <w:trPr>
          <w:trHeight w:val="716"/>
        </w:trPr>
        <w:tc>
          <w:tcPr>
            <w:tcW w:w="3745" w:type="dxa"/>
            <w:shd w:val="clear" w:color="auto" w:fill="CCFFFF"/>
          </w:tcPr>
          <w:p w14:paraId="6DFD025D" w14:textId="77777777" w:rsidR="00C63F80" w:rsidRPr="00884993" w:rsidRDefault="00C63F80" w:rsidP="00C63F80">
            <w:pPr>
              <w:rPr>
                <w:sz w:val="22"/>
                <w:szCs w:val="22"/>
              </w:rPr>
            </w:pPr>
            <w:r w:rsidRPr="00884993">
              <w:rPr>
                <w:sz w:val="22"/>
                <w:szCs w:val="22"/>
              </w:rPr>
              <w:t>Pregnancy &amp; Breastfeeding:</w:t>
            </w:r>
          </w:p>
        </w:tc>
        <w:tc>
          <w:tcPr>
            <w:tcW w:w="5271" w:type="dxa"/>
            <w:shd w:val="clear" w:color="auto" w:fill="auto"/>
          </w:tcPr>
          <w:p w14:paraId="1E508D98" w14:textId="77777777" w:rsidR="00C63F80" w:rsidRPr="00BB0D06" w:rsidRDefault="00C63F80" w:rsidP="00C63F80">
            <w:pPr>
              <w:widowControl w:val="0"/>
              <w:rPr>
                <w:sz w:val="22"/>
                <w:szCs w:val="22"/>
                <w:highlight w:val="white"/>
              </w:rPr>
            </w:pPr>
            <w:r>
              <w:rPr>
                <w:sz w:val="22"/>
                <w:szCs w:val="22"/>
                <w:highlight w:val="white"/>
              </w:rPr>
              <w:t>No data available but manufacturer recommends w</w:t>
            </w:r>
            <w:r w:rsidRPr="00BB0D06">
              <w:rPr>
                <w:sz w:val="22"/>
                <w:szCs w:val="22"/>
                <w:highlight w:val="white"/>
              </w:rPr>
              <w:t xml:space="preserve">omen of childbearing potential - contraception during and up to 3 months after treatment (if pregnancy occurs - evaluate clinical need to continue). </w:t>
            </w:r>
          </w:p>
          <w:p w14:paraId="1354B199" w14:textId="77777777" w:rsidR="00C63F80" w:rsidRPr="00BB0D06" w:rsidRDefault="00C63F80" w:rsidP="00C63F80">
            <w:pPr>
              <w:widowControl w:val="0"/>
              <w:rPr>
                <w:sz w:val="22"/>
                <w:szCs w:val="22"/>
              </w:rPr>
            </w:pPr>
            <w:r w:rsidRPr="00BB0D06">
              <w:rPr>
                <w:sz w:val="22"/>
                <w:szCs w:val="22"/>
                <w:highlight w:val="white"/>
              </w:rPr>
              <w:t>Breastfeeding not recommended.</w:t>
            </w:r>
          </w:p>
        </w:tc>
      </w:tr>
      <w:tr w:rsidR="00C63F80" w:rsidRPr="00884993" w14:paraId="427012B0" w14:textId="77777777" w:rsidTr="00C63F80">
        <w:trPr>
          <w:trHeight w:val="311"/>
        </w:trPr>
        <w:tc>
          <w:tcPr>
            <w:tcW w:w="3745" w:type="dxa"/>
            <w:shd w:val="clear" w:color="auto" w:fill="CCFFFF"/>
          </w:tcPr>
          <w:p w14:paraId="081A78B2" w14:textId="77777777" w:rsidR="00C63F80" w:rsidRPr="00884993" w:rsidRDefault="00C63F80" w:rsidP="00C63F80">
            <w:pPr>
              <w:rPr>
                <w:sz w:val="22"/>
                <w:szCs w:val="22"/>
              </w:rPr>
            </w:pPr>
            <w:r w:rsidRPr="00884993">
              <w:rPr>
                <w:sz w:val="22"/>
                <w:szCs w:val="22"/>
              </w:rPr>
              <w:t>Assessment of Response:</w:t>
            </w:r>
          </w:p>
        </w:tc>
        <w:tc>
          <w:tcPr>
            <w:tcW w:w="5271" w:type="dxa"/>
            <w:shd w:val="clear" w:color="auto" w:fill="auto"/>
          </w:tcPr>
          <w:p w14:paraId="7A950865" w14:textId="77777777" w:rsidR="00C63F80" w:rsidRPr="00884993" w:rsidRDefault="00C63F80" w:rsidP="00C63F80">
            <w:pPr>
              <w:rPr>
                <w:sz w:val="22"/>
                <w:szCs w:val="22"/>
              </w:rPr>
            </w:pPr>
            <w:r w:rsidRPr="00BB0D06">
              <w:rPr>
                <w:sz w:val="22"/>
                <w:szCs w:val="22"/>
              </w:rPr>
              <w:t>NICE - moderate EULAR response at 6 months</w:t>
            </w:r>
          </w:p>
        </w:tc>
      </w:tr>
      <w:tr w:rsidR="00C63F80" w:rsidRPr="00884993" w14:paraId="72D6E602" w14:textId="77777777" w:rsidTr="00C63F80">
        <w:trPr>
          <w:trHeight w:val="1771"/>
        </w:trPr>
        <w:tc>
          <w:tcPr>
            <w:tcW w:w="3745" w:type="dxa"/>
            <w:shd w:val="clear" w:color="auto" w:fill="CCFFFF"/>
          </w:tcPr>
          <w:p w14:paraId="6089B77D" w14:textId="77777777" w:rsidR="00C63F80" w:rsidRPr="00884993" w:rsidRDefault="00C63F80" w:rsidP="00C63F80">
            <w:pPr>
              <w:rPr>
                <w:sz w:val="22"/>
                <w:szCs w:val="22"/>
              </w:rPr>
            </w:pPr>
            <w:r w:rsidRPr="00884993">
              <w:rPr>
                <w:sz w:val="22"/>
                <w:szCs w:val="22"/>
              </w:rPr>
              <w:t>Baseline Tests:</w:t>
            </w:r>
          </w:p>
        </w:tc>
        <w:tc>
          <w:tcPr>
            <w:tcW w:w="5271" w:type="dxa"/>
            <w:shd w:val="clear" w:color="auto" w:fill="auto"/>
          </w:tcPr>
          <w:p w14:paraId="1E51102D" w14:textId="77777777" w:rsidR="00C63F80" w:rsidRPr="00BB0D06" w:rsidRDefault="00C63F80" w:rsidP="00C63F80">
            <w:pPr>
              <w:widowControl w:val="0"/>
              <w:rPr>
                <w:sz w:val="22"/>
                <w:szCs w:val="22"/>
              </w:rPr>
            </w:pPr>
            <w:r w:rsidRPr="00BB0D06">
              <w:rPr>
                <w:sz w:val="22"/>
                <w:szCs w:val="22"/>
              </w:rPr>
              <w:t xml:space="preserve">FBC </w:t>
            </w:r>
          </w:p>
          <w:p w14:paraId="26E6590E" w14:textId="77777777" w:rsidR="00C63F80" w:rsidRPr="00BB0D06" w:rsidRDefault="00C63F80" w:rsidP="00C63F80">
            <w:pPr>
              <w:widowControl w:val="0"/>
              <w:rPr>
                <w:sz w:val="22"/>
                <w:szCs w:val="22"/>
              </w:rPr>
            </w:pPr>
            <w:r w:rsidRPr="00BB0D06">
              <w:rPr>
                <w:sz w:val="22"/>
                <w:szCs w:val="22"/>
              </w:rPr>
              <w:t xml:space="preserve">LFT’s </w:t>
            </w:r>
          </w:p>
          <w:p w14:paraId="6DF3253B" w14:textId="77777777" w:rsidR="00C63F80" w:rsidRPr="00BB0D06" w:rsidRDefault="00C63F80" w:rsidP="00C63F80">
            <w:pPr>
              <w:widowControl w:val="0"/>
              <w:rPr>
                <w:sz w:val="22"/>
                <w:szCs w:val="22"/>
              </w:rPr>
            </w:pPr>
            <w:r w:rsidRPr="00BB0D06">
              <w:rPr>
                <w:sz w:val="22"/>
                <w:szCs w:val="22"/>
              </w:rPr>
              <w:t>U&amp;E</w:t>
            </w:r>
          </w:p>
          <w:p w14:paraId="23E83CA6" w14:textId="77777777" w:rsidR="00C63F80" w:rsidRDefault="00C63F80" w:rsidP="00C63F80">
            <w:pPr>
              <w:widowControl w:val="0"/>
              <w:rPr>
                <w:sz w:val="22"/>
                <w:szCs w:val="22"/>
              </w:rPr>
            </w:pPr>
            <w:r>
              <w:rPr>
                <w:sz w:val="22"/>
                <w:szCs w:val="22"/>
              </w:rPr>
              <w:t xml:space="preserve">Consider </w:t>
            </w:r>
            <w:r w:rsidRPr="00BB0D06">
              <w:rPr>
                <w:sz w:val="22"/>
                <w:szCs w:val="22"/>
              </w:rPr>
              <w:t xml:space="preserve">CXR                        </w:t>
            </w:r>
          </w:p>
          <w:p w14:paraId="1F6B7BA8" w14:textId="77777777" w:rsidR="00C63F80" w:rsidRPr="00BB0D06" w:rsidRDefault="00C63F80" w:rsidP="00C63F80">
            <w:pPr>
              <w:widowControl w:val="0"/>
              <w:rPr>
                <w:sz w:val="22"/>
                <w:szCs w:val="22"/>
              </w:rPr>
            </w:pPr>
            <w:r>
              <w:rPr>
                <w:sz w:val="22"/>
                <w:szCs w:val="22"/>
              </w:rPr>
              <w:t xml:space="preserve">Consider </w:t>
            </w:r>
            <w:r w:rsidRPr="00BB0D06">
              <w:rPr>
                <w:sz w:val="22"/>
                <w:szCs w:val="22"/>
              </w:rPr>
              <w:t>Hepatitis B and C</w:t>
            </w:r>
            <w:r>
              <w:rPr>
                <w:sz w:val="22"/>
                <w:szCs w:val="22"/>
              </w:rPr>
              <w:t xml:space="preserve">. quantiferon, </w:t>
            </w:r>
            <w:r w:rsidRPr="00BB0D06">
              <w:rPr>
                <w:sz w:val="22"/>
                <w:szCs w:val="22"/>
              </w:rPr>
              <w:t>HIV</w:t>
            </w:r>
            <w:r>
              <w:rPr>
                <w:sz w:val="22"/>
                <w:szCs w:val="22"/>
              </w:rPr>
              <w:t xml:space="preserve"> testing</w:t>
            </w:r>
          </w:p>
          <w:p w14:paraId="79739D37" w14:textId="77777777" w:rsidR="00C63F80" w:rsidRPr="00BB0D06" w:rsidRDefault="00C63F80" w:rsidP="00C63F80">
            <w:pPr>
              <w:widowControl w:val="0"/>
              <w:rPr>
                <w:sz w:val="22"/>
                <w:szCs w:val="22"/>
              </w:rPr>
            </w:pPr>
            <w:r>
              <w:rPr>
                <w:sz w:val="22"/>
                <w:szCs w:val="22"/>
              </w:rPr>
              <w:t xml:space="preserve">Consider </w:t>
            </w:r>
            <w:r w:rsidRPr="00BB0D06">
              <w:rPr>
                <w:sz w:val="22"/>
                <w:szCs w:val="22"/>
              </w:rPr>
              <w:t>Urinalysis</w:t>
            </w:r>
          </w:p>
          <w:p w14:paraId="6363483B" w14:textId="77777777" w:rsidR="00C63F80" w:rsidRPr="00884993" w:rsidRDefault="00C63F80" w:rsidP="00C63F80">
            <w:pPr>
              <w:rPr>
                <w:sz w:val="22"/>
                <w:szCs w:val="22"/>
              </w:rPr>
            </w:pPr>
            <w:r w:rsidRPr="00BB0D06">
              <w:rPr>
                <w:sz w:val="22"/>
                <w:szCs w:val="22"/>
              </w:rPr>
              <w:t>*Consider pregnancy test</w:t>
            </w:r>
          </w:p>
        </w:tc>
      </w:tr>
      <w:tr w:rsidR="00C63F80" w:rsidRPr="00884993" w14:paraId="15B5DF94" w14:textId="77777777" w:rsidTr="00C63F80">
        <w:trPr>
          <w:trHeight w:val="421"/>
        </w:trPr>
        <w:tc>
          <w:tcPr>
            <w:tcW w:w="3745" w:type="dxa"/>
            <w:shd w:val="clear" w:color="auto" w:fill="CCFFFF"/>
          </w:tcPr>
          <w:p w14:paraId="3942CE1E" w14:textId="77777777" w:rsidR="00C63F80" w:rsidRPr="00884993" w:rsidRDefault="00C63F80" w:rsidP="00C63F80">
            <w:pPr>
              <w:rPr>
                <w:sz w:val="22"/>
                <w:szCs w:val="22"/>
              </w:rPr>
            </w:pPr>
            <w:r w:rsidRPr="00884993">
              <w:rPr>
                <w:sz w:val="22"/>
                <w:szCs w:val="22"/>
              </w:rPr>
              <w:t>Routine Monitoring:</w:t>
            </w:r>
          </w:p>
        </w:tc>
        <w:tc>
          <w:tcPr>
            <w:tcW w:w="5271" w:type="dxa"/>
            <w:shd w:val="clear" w:color="auto" w:fill="auto"/>
          </w:tcPr>
          <w:p w14:paraId="52EA243F" w14:textId="77777777" w:rsidR="00C63F80" w:rsidRPr="00BB0D06" w:rsidRDefault="00C63F80" w:rsidP="00C63F80">
            <w:pPr>
              <w:widowControl w:val="0"/>
              <w:rPr>
                <w:sz w:val="22"/>
                <w:szCs w:val="22"/>
              </w:rPr>
            </w:pPr>
            <w:r w:rsidRPr="00BB0D06">
              <w:rPr>
                <w:sz w:val="22"/>
                <w:szCs w:val="22"/>
              </w:rPr>
              <w:t xml:space="preserve">FBC and LFT’s -  at 4 to 8 weeks then </w:t>
            </w:r>
            <w:r>
              <w:rPr>
                <w:sz w:val="22"/>
                <w:szCs w:val="22"/>
              </w:rPr>
              <w:t xml:space="preserve">suggest </w:t>
            </w:r>
            <w:r w:rsidRPr="00BB0D06">
              <w:rPr>
                <w:sz w:val="22"/>
                <w:szCs w:val="22"/>
              </w:rPr>
              <w:t>3 monthly</w:t>
            </w:r>
          </w:p>
          <w:p w14:paraId="7B7D6C6F" w14:textId="77777777" w:rsidR="00C63F80" w:rsidRPr="00884993" w:rsidRDefault="00C63F80" w:rsidP="00C63F80">
            <w:pPr>
              <w:rPr>
                <w:sz w:val="22"/>
                <w:szCs w:val="22"/>
              </w:rPr>
            </w:pPr>
            <w:r w:rsidRPr="00BB0D06">
              <w:rPr>
                <w:sz w:val="22"/>
                <w:szCs w:val="22"/>
              </w:rPr>
              <w:t>Lipids - at 4 to 8 weeks then 6 monthly (</w:t>
            </w:r>
            <w:r w:rsidRPr="00BB0D06">
              <w:rPr>
                <w:b/>
                <w:sz w:val="22"/>
                <w:szCs w:val="22"/>
              </w:rPr>
              <w:t>*Take bloods</w:t>
            </w:r>
            <w:r w:rsidRPr="00BB0D06">
              <w:rPr>
                <w:b/>
                <w:sz w:val="22"/>
                <w:szCs w:val="22"/>
                <w:highlight w:val="white"/>
              </w:rPr>
              <w:t xml:space="preserve"> at the end of the dosing interval when considering dose modification)</w:t>
            </w:r>
          </w:p>
        </w:tc>
      </w:tr>
      <w:tr w:rsidR="00C63F80" w:rsidRPr="00884993" w14:paraId="5F40DD6B" w14:textId="77777777" w:rsidTr="00C63F80">
        <w:trPr>
          <w:trHeight w:val="1912"/>
        </w:trPr>
        <w:tc>
          <w:tcPr>
            <w:tcW w:w="3745" w:type="dxa"/>
            <w:shd w:val="clear" w:color="auto" w:fill="CCFFFF"/>
          </w:tcPr>
          <w:p w14:paraId="7D4EF0FA" w14:textId="77777777" w:rsidR="00C63F80" w:rsidRPr="00884993" w:rsidRDefault="00C63F80" w:rsidP="00C63F80">
            <w:pPr>
              <w:rPr>
                <w:sz w:val="22"/>
                <w:szCs w:val="22"/>
              </w:rPr>
            </w:pPr>
            <w:r w:rsidRPr="00884993">
              <w:rPr>
                <w:sz w:val="22"/>
                <w:szCs w:val="22"/>
              </w:rPr>
              <w:t xml:space="preserve">Indications for Stopping Therapy: </w:t>
            </w:r>
          </w:p>
        </w:tc>
        <w:tc>
          <w:tcPr>
            <w:tcW w:w="5271" w:type="dxa"/>
            <w:shd w:val="clear" w:color="auto" w:fill="auto"/>
          </w:tcPr>
          <w:p w14:paraId="587F9A35" w14:textId="77777777" w:rsidR="00C63F80" w:rsidRPr="006E04A0" w:rsidRDefault="00C63F80" w:rsidP="00C63F80">
            <w:pPr>
              <w:widowControl w:val="0"/>
              <w:rPr>
                <w:sz w:val="22"/>
                <w:szCs w:val="22"/>
              </w:rPr>
            </w:pPr>
            <w:r w:rsidRPr="006E04A0">
              <w:rPr>
                <w:sz w:val="22"/>
                <w:szCs w:val="22"/>
              </w:rPr>
              <w:t>ANC &lt;1.0 x 109cells/L</w:t>
            </w:r>
          </w:p>
          <w:p w14:paraId="324BD8F8" w14:textId="77777777" w:rsidR="00C63F80" w:rsidRPr="006E04A0" w:rsidRDefault="00C63F80" w:rsidP="00C63F80">
            <w:pPr>
              <w:widowControl w:val="0"/>
              <w:rPr>
                <w:sz w:val="22"/>
                <w:szCs w:val="22"/>
              </w:rPr>
            </w:pPr>
            <w:r w:rsidRPr="006E04A0">
              <w:rPr>
                <w:sz w:val="22"/>
                <w:szCs w:val="22"/>
              </w:rPr>
              <w:t>Platelets &lt;50 x 109cells/L</w:t>
            </w:r>
          </w:p>
          <w:p w14:paraId="22CF6349" w14:textId="77777777" w:rsidR="00C63F80" w:rsidRPr="006E04A0" w:rsidRDefault="00C63F80" w:rsidP="00C63F80">
            <w:pPr>
              <w:widowControl w:val="0"/>
              <w:rPr>
                <w:sz w:val="22"/>
                <w:szCs w:val="22"/>
              </w:rPr>
            </w:pPr>
            <w:r w:rsidRPr="006E04A0">
              <w:rPr>
                <w:sz w:val="22"/>
                <w:szCs w:val="22"/>
              </w:rPr>
              <w:t>LFT’s 3 to 5 x ULN (Treatment with Kevzara should be withheld until &lt; 3 x ULN then be resumed at 150 mg every 2 weeks and increased to 200 mg every 2 weeks as clinically appropriate; treatment with Kevzara should be discontinued if ALT &gt; 5 x ULN)</w:t>
            </w:r>
          </w:p>
          <w:p w14:paraId="09209C0C" w14:textId="77777777" w:rsidR="00C63F80" w:rsidRPr="006E04A0" w:rsidRDefault="00C63F80" w:rsidP="00C63F80">
            <w:pPr>
              <w:widowControl w:val="0"/>
              <w:rPr>
                <w:sz w:val="22"/>
                <w:szCs w:val="22"/>
              </w:rPr>
            </w:pPr>
            <w:r w:rsidRPr="006E04A0">
              <w:rPr>
                <w:sz w:val="22"/>
                <w:szCs w:val="22"/>
              </w:rPr>
              <w:t>Serious infection/Opportunistic infection</w:t>
            </w:r>
          </w:p>
          <w:p w14:paraId="430F3880" w14:textId="77777777" w:rsidR="00C63F80" w:rsidRPr="006E04A0" w:rsidRDefault="00C63F80" w:rsidP="00C63F80">
            <w:pPr>
              <w:widowControl w:val="0"/>
              <w:rPr>
                <w:sz w:val="22"/>
                <w:szCs w:val="22"/>
              </w:rPr>
            </w:pPr>
            <w:r w:rsidRPr="006E04A0">
              <w:rPr>
                <w:sz w:val="22"/>
                <w:szCs w:val="22"/>
              </w:rPr>
              <w:t xml:space="preserve">New onset abdominal symptoms </w:t>
            </w:r>
          </w:p>
          <w:p w14:paraId="39F74C8F" w14:textId="77777777" w:rsidR="00C63F80" w:rsidRPr="00884993" w:rsidRDefault="00C63F80" w:rsidP="00C63F80">
            <w:pPr>
              <w:rPr>
                <w:sz w:val="22"/>
                <w:szCs w:val="22"/>
              </w:rPr>
            </w:pPr>
            <w:r w:rsidRPr="006E04A0">
              <w:rPr>
                <w:sz w:val="22"/>
                <w:szCs w:val="22"/>
              </w:rPr>
              <w:t>Suspected Hypersensitivity reaction - Injection site rash, rash, urticaria</w:t>
            </w:r>
          </w:p>
        </w:tc>
      </w:tr>
      <w:tr w:rsidR="00C63F80" w:rsidRPr="00884993" w14:paraId="470EF7F7" w14:textId="77777777" w:rsidTr="00C63F80">
        <w:trPr>
          <w:trHeight w:val="934"/>
        </w:trPr>
        <w:tc>
          <w:tcPr>
            <w:tcW w:w="9016" w:type="dxa"/>
            <w:gridSpan w:val="2"/>
            <w:shd w:val="clear" w:color="auto" w:fill="auto"/>
          </w:tcPr>
          <w:p w14:paraId="567B390C" w14:textId="77777777" w:rsidR="00C63F80" w:rsidRPr="00884993" w:rsidRDefault="00C63F80" w:rsidP="00C63F80">
            <w:pPr>
              <w:rPr>
                <w:sz w:val="22"/>
                <w:szCs w:val="22"/>
              </w:rPr>
            </w:pPr>
            <w:r w:rsidRPr="00884993">
              <w:rPr>
                <w:sz w:val="22"/>
                <w:szCs w:val="22"/>
              </w:rPr>
              <w:t>Please refer to licensed datasheet for more comprehensive prescribing information:</w:t>
            </w:r>
          </w:p>
          <w:p w14:paraId="1ACD0A40" w14:textId="128CDA5B" w:rsidR="00C63F80" w:rsidRPr="00884993" w:rsidRDefault="00C63F80" w:rsidP="00C63F80">
            <w:pPr>
              <w:rPr>
                <w:sz w:val="22"/>
                <w:szCs w:val="22"/>
              </w:rPr>
            </w:pPr>
            <w:r w:rsidRPr="006E04A0">
              <w:rPr>
                <w:rStyle w:val="Hyperlink"/>
                <w:sz w:val="22"/>
                <w:szCs w:val="22"/>
              </w:rPr>
              <w:t xml:space="preserve">https://www.medicines.org.uk/emc/product/8143/smpc </w:t>
            </w:r>
          </w:p>
        </w:tc>
      </w:tr>
    </w:tbl>
    <w:p w14:paraId="34C3DE33" w14:textId="77777777" w:rsidR="00FB0308" w:rsidRDefault="00FB0308" w:rsidP="00FB0308">
      <w:pPr>
        <w:pStyle w:val="Heading2"/>
      </w:pPr>
      <w:bookmarkStart w:id="33" w:name="_Toc531873945"/>
      <w:r w:rsidRPr="00F274B2">
        <w:rPr>
          <w:rFonts w:eastAsia="Times New Roman"/>
        </w:rPr>
        <w:lastRenderedPageBreak/>
        <w:t>Secukinumab (Cosentyx</w:t>
      </w:r>
      <w:r w:rsidRPr="00F274B2">
        <w:rPr>
          <w:rFonts w:ascii="MS Gothic" w:eastAsia="MS Gothic" w:hAnsi="MS Gothic" w:cs="MS Gothic" w:hint="eastAsia"/>
        </w:rPr>
        <w:t>Ⓡ</w:t>
      </w:r>
      <w:r w:rsidRPr="00F274B2">
        <w:rPr>
          <w:rFonts w:eastAsia="Times New Roman"/>
        </w:rPr>
        <w:t>)</w:t>
      </w:r>
      <w:bookmarkEnd w:id="33"/>
    </w:p>
    <w:tbl>
      <w:tblPr>
        <w:tblpPr w:leftFromText="180" w:rightFromText="180" w:vertAnchor="page" w:horzAnchor="margin" w:tblpY="210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5271"/>
      </w:tblGrid>
      <w:tr w:rsidR="00FB0308" w:rsidRPr="00884993" w14:paraId="7F03AA8D" w14:textId="77777777" w:rsidTr="00FD7634">
        <w:trPr>
          <w:trHeight w:val="480"/>
        </w:trPr>
        <w:tc>
          <w:tcPr>
            <w:tcW w:w="3745" w:type="dxa"/>
            <w:shd w:val="clear" w:color="auto" w:fill="CCFFFF"/>
          </w:tcPr>
          <w:p w14:paraId="59302890" w14:textId="77777777" w:rsidR="00FB0308" w:rsidRPr="00884993" w:rsidRDefault="00FB0308" w:rsidP="00FD7634">
            <w:pPr>
              <w:rPr>
                <w:sz w:val="22"/>
                <w:szCs w:val="22"/>
              </w:rPr>
            </w:pPr>
            <w:r w:rsidRPr="00884993">
              <w:rPr>
                <w:sz w:val="22"/>
                <w:szCs w:val="22"/>
              </w:rPr>
              <w:t>Therapeutic class:</w:t>
            </w:r>
          </w:p>
        </w:tc>
        <w:tc>
          <w:tcPr>
            <w:tcW w:w="5271" w:type="dxa"/>
            <w:shd w:val="clear" w:color="auto" w:fill="auto"/>
          </w:tcPr>
          <w:p w14:paraId="2790F494" w14:textId="77777777" w:rsidR="00FB0308" w:rsidRPr="00884993" w:rsidRDefault="00FB0308" w:rsidP="00FD7634">
            <w:pPr>
              <w:rPr>
                <w:sz w:val="22"/>
                <w:szCs w:val="22"/>
              </w:rPr>
            </w:pPr>
            <w:r w:rsidRPr="00E32E61">
              <w:rPr>
                <w:color w:val="000000"/>
                <w:kern w:val="24"/>
                <w:sz w:val="22"/>
                <w:szCs w:val="22"/>
                <w:lang w:eastAsia="en-GB"/>
              </w:rPr>
              <w:t>IgG1/κ monoclonal antibody that selectively binds to and neutralises IL-17A</w:t>
            </w:r>
          </w:p>
        </w:tc>
      </w:tr>
      <w:tr w:rsidR="00FB0308" w:rsidRPr="00884993" w14:paraId="3872FE13" w14:textId="77777777" w:rsidTr="00FD7634">
        <w:trPr>
          <w:trHeight w:val="603"/>
        </w:trPr>
        <w:tc>
          <w:tcPr>
            <w:tcW w:w="3745" w:type="dxa"/>
            <w:shd w:val="clear" w:color="auto" w:fill="CCFFFF"/>
          </w:tcPr>
          <w:p w14:paraId="4AB2ECCA" w14:textId="77777777" w:rsidR="00FB0308" w:rsidRPr="00884993" w:rsidRDefault="00FB0308" w:rsidP="00FD7634">
            <w:pPr>
              <w:rPr>
                <w:sz w:val="22"/>
                <w:szCs w:val="22"/>
              </w:rPr>
            </w:pPr>
            <w:r w:rsidRPr="00884993">
              <w:rPr>
                <w:sz w:val="22"/>
                <w:szCs w:val="22"/>
              </w:rPr>
              <w:t>Licensed Dose:</w:t>
            </w:r>
          </w:p>
        </w:tc>
        <w:tc>
          <w:tcPr>
            <w:tcW w:w="5271" w:type="dxa"/>
            <w:shd w:val="clear" w:color="auto" w:fill="auto"/>
          </w:tcPr>
          <w:p w14:paraId="4D32EE1A" w14:textId="77777777" w:rsidR="00FB0308" w:rsidRPr="00BB0D06" w:rsidRDefault="00FB0308" w:rsidP="00FD7634">
            <w:pPr>
              <w:widowControl w:val="0"/>
              <w:rPr>
                <w:sz w:val="22"/>
                <w:szCs w:val="22"/>
              </w:rPr>
            </w:pPr>
            <w:r w:rsidRPr="00BB0D06">
              <w:rPr>
                <w:b/>
                <w:sz w:val="22"/>
                <w:szCs w:val="22"/>
              </w:rPr>
              <w:t>PsA</w:t>
            </w:r>
            <w:r w:rsidRPr="00BB0D06">
              <w:rPr>
                <w:sz w:val="22"/>
                <w:szCs w:val="22"/>
              </w:rPr>
              <w:t xml:space="preserve"> - concomitant psoriasis or TNFi inadequate responder 300mg sc wk 0,1,2,3 and 4 the monthly. Otherwise 150mg wk 0,1,2,3 and 4 then monthly</w:t>
            </w:r>
          </w:p>
          <w:p w14:paraId="35E54ACA" w14:textId="77777777" w:rsidR="00FB0308" w:rsidRPr="00884993" w:rsidRDefault="00FB0308" w:rsidP="00FD7634">
            <w:pPr>
              <w:widowControl w:val="0"/>
              <w:rPr>
                <w:sz w:val="22"/>
                <w:szCs w:val="22"/>
              </w:rPr>
            </w:pPr>
            <w:r w:rsidRPr="00BB0D06">
              <w:rPr>
                <w:b/>
                <w:sz w:val="22"/>
                <w:szCs w:val="22"/>
              </w:rPr>
              <w:t>AS</w:t>
            </w:r>
            <w:r w:rsidRPr="00BB0D06">
              <w:rPr>
                <w:sz w:val="22"/>
                <w:szCs w:val="22"/>
              </w:rPr>
              <w:t xml:space="preserve"> - 150mg sc wk 0,1,2,3 and 4 then monthly</w:t>
            </w:r>
          </w:p>
        </w:tc>
      </w:tr>
      <w:tr w:rsidR="00FB0308" w:rsidRPr="00884993" w14:paraId="00F2E7E4" w14:textId="77777777" w:rsidTr="00FD7634">
        <w:trPr>
          <w:trHeight w:val="291"/>
        </w:trPr>
        <w:tc>
          <w:tcPr>
            <w:tcW w:w="3745" w:type="dxa"/>
            <w:shd w:val="clear" w:color="auto" w:fill="CCFFFF"/>
          </w:tcPr>
          <w:p w14:paraId="2E89FED0" w14:textId="77777777" w:rsidR="00FB0308" w:rsidRPr="00884993" w:rsidRDefault="00FB0308" w:rsidP="00FD7634">
            <w:pPr>
              <w:rPr>
                <w:sz w:val="22"/>
                <w:szCs w:val="22"/>
              </w:rPr>
            </w:pPr>
            <w:r w:rsidRPr="00884993">
              <w:rPr>
                <w:sz w:val="22"/>
                <w:szCs w:val="22"/>
              </w:rPr>
              <w:t>NICE Guidance:</w:t>
            </w:r>
          </w:p>
        </w:tc>
        <w:tc>
          <w:tcPr>
            <w:tcW w:w="5271" w:type="dxa"/>
            <w:shd w:val="clear" w:color="auto" w:fill="auto"/>
          </w:tcPr>
          <w:p w14:paraId="7F013837" w14:textId="77777777" w:rsidR="00FB0308" w:rsidRDefault="00FB0308" w:rsidP="00FD7634">
            <w:pPr>
              <w:overflowPunct/>
              <w:autoSpaceDE/>
              <w:autoSpaceDN/>
              <w:adjustRightInd/>
              <w:textAlignment w:val="auto"/>
              <w:rPr>
                <w:color w:val="000000"/>
                <w:kern w:val="24"/>
                <w:sz w:val="22"/>
                <w:szCs w:val="22"/>
                <w:lang w:eastAsia="en-GB"/>
              </w:rPr>
            </w:pPr>
            <w:r>
              <w:rPr>
                <w:color w:val="000000"/>
                <w:kern w:val="24"/>
                <w:sz w:val="22"/>
                <w:szCs w:val="22"/>
                <w:lang w:eastAsia="en-GB"/>
              </w:rPr>
              <w:t xml:space="preserve">AS: </w:t>
            </w:r>
            <w:hyperlink r:id="rId106" w:history="1">
              <w:r w:rsidRPr="00855CD3">
                <w:rPr>
                  <w:rStyle w:val="Hyperlink"/>
                  <w:kern w:val="24"/>
                  <w:sz w:val="22"/>
                  <w:szCs w:val="22"/>
                  <w:lang w:eastAsia="en-GB"/>
                </w:rPr>
                <w:t>TA 407</w:t>
              </w:r>
            </w:hyperlink>
          </w:p>
          <w:p w14:paraId="6CD6A132" w14:textId="77777777" w:rsidR="00FB0308" w:rsidRPr="00586C73" w:rsidRDefault="00FB0308" w:rsidP="00FD7634">
            <w:pPr>
              <w:rPr>
                <w:sz w:val="22"/>
                <w:szCs w:val="22"/>
              </w:rPr>
            </w:pPr>
            <w:r>
              <w:rPr>
                <w:color w:val="000000"/>
                <w:kern w:val="24"/>
                <w:sz w:val="22"/>
                <w:szCs w:val="22"/>
                <w:lang w:eastAsia="en-GB"/>
              </w:rPr>
              <w:t xml:space="preserve">PsA: </w:t>
            </w:r>
            <w:hyperlink r:id="rId107" w:history="1">
              <w:r w:rsidRPr="00604B75">
                <w:rPr>
                  <w:rStyle w:val="Hyperlink"/>
                  <w:kern w:val="24"/>
                  <w:sz w:val="22"/>
                  <w:szCs w:val="22"/>
                  <w:lang w:eastAsia="en-GB"/>
                </w:rPr>
                <w:t>TA445</w:t>
              </w:r>
            </w:hyperlink>
          </w:p>
        </w:tc>
      </w:tr>
      <w:tr w:rsidR="00FB0308" w:rsidRPr="00884993" w14:paraId="5A8C951B" w14:textId="77777777" w:rsidTr="00FD7634">
        <w:trPr>
          <w:trHeight w:val="291"/>
        </w:trPr>
        <w:tc>
          <w:tcPr>
            <w:tcW w:w="3745" w:type="dxa"/>
            <w:shd w:val="clear" w:color="auto" w:fill="CCFFFF"/>
          </w:tcPr>
          <w:p w14:paraId="01B6B886" w14:textId="77777777" w:rsidR="00FB0308" w:rsidRPr="00884993" w:rsidRDefault="00FB0308" w:rsidP="00FD7634">
            <w:pPr>
              <w:rPr>
                <w:sz w:val="22"/>
                <w:szCs w:val="22"/>
              </w:rPr>
            </w:pPr>
            <w:r>
              <w:rPr>
                <w:sz w:val="22"/>
                <w:szCs w:val="22"/>
              </w:rPr>
              <w:t>Renal/hepatic impairment/</w:t>
            </w:r>
            <w:r w:rsidRPr="00BB0D06">
              <w:rPr>
                <w:sz w:val="22"/>
                <w:szCs w:val="22"/>
              </w:rPr>
              <w:t>Elderly</w:t>
            </w:r>
          </w:p>
        </w:tc>
        <w:tc>
          <w:tcPr>
            <w:tcW w:w="5271" w:type="dxa"/>
            <w:shd w:val="clear" w:color="auto" w:fill="auto"/>
          </w:tcPr>
          <w:p w14:paraId="59D1A3FA" w14:textId="77777777" w:rsidR="00FB0308" w:rsidRDefault="00FB0308" w:rsidP="00FD7634">
            <w:pPr>
              <w:overflowPunct/>
              <w:autoSpaceDE/>
              <w:autoSpaceDN/>
              <w:adjustRightInd/>
              <w:textAlignment w:val="auto"/>
              <w:rPr>
                <w:color w:val="000000"/>
                <w:kern w:val="24"/>
                <w:sz w:val="22"/>
                <w:szCs w:val="22"/>
                <w:lang w:eastAsia="en-GB"/>
              </w:rPr>
            </w:pPr>
            <w:r w:rsidRPr="00BB0D06">
              <w:rPr>
                <w:sz w:val="22"/>
                <w:szCs w:val="22"/>
              </w:rPr>
              <w:t>No dose adjustment</w:t>
            </w:r>
          </w:p>
        </w:tc>
      </w:tr>
      <w:tr w:rsidR="00FB0308" w:rsidRPr="00884993" w14:paraId="04FE96B2" w14:textId="77777777" w:rsidTr="00FD7634">
        <w:trPr>
          <w:trHeight w:val="716"/>
        </w:trPr>
        <w:tc>
          <w:tcPr>
            <w:tcW w:w="3745" w:type="dxa"/>
            <w:shd w:val="clear" w:color="auto" w:fill="CCFFFF"/>
          </w:tcPr>
          <w:p w14:paraId="5E4111E3" w14:textId="77777777" w:rsidR="00FB0308" w:rsidRPr="00884993" w:rsidRDefault="00FB0308" w:rsidP="00FD7634">
            <w:pPr>
              <w:rPr>
                <w:sz w:val="22"/>
                <w:szCs w:val="22"/>
              </w:rPr>
            </w:pPr>
            <w:r w:rsidRPr="00884993">
              <w:rPr>
                <w:sz w:val="22"/>
                <w:szCs w:val="22"/>
              </w:rPr>
              <w:t>Warnings/Contra-indications/Significant drug interactions:</w:t>
            </w:r>
          </w:p>
          <w:p w14:paraId="01580C95" w14:textId="77777777" w:rsidR="00FB0308" w:rsidRPr="00884993" w:rsidRDefault="00FB0308" w:rsidP="00FD7634">
            <w:pPr>
              <w:rPr>
                <w:sz w:val="22"/>
                <w:szCs w:val="22"/>
              </w:rPr>
            </w:pPr>
            <w:r w:rsidRPr="00884993">
              <w:rPr>
                <w:sz w:val="22"/>
                <w:szCs w:val="22"/>
              </w:rPr>
              <w:t>(*Refer to licensed datasheet for special warnings)</w:t>
            </w:r>
          </w:p>
        </w:tc>
        <w:tc>
          <w:tcPr>
            <w:tcW w:w="5271" w:type="dxa"/>
            <w:shd w:val="clear" w:color="auto" w:fill="auto"/>
          </w:tcPr>
          <w:p w14:paraId="29E75ED0" w14:textId="77777777" w:rsidR="00FB0308" w:rsidRPr="00BB0D06" w:rsidRDefault="00FB0308" w:rsidP="00FD7634">
            <w:pPr>
              <w:widowControl w:val="0"/>
              <w:rPr>
                <w:sz w:val="22"/>
                <w:szCs w:val="22"/>
              </w:rPr>
            </w:pPr>
            <w:r w:rsidRPr="00BB0D06">
              <w:rPr>
                <w:sz w:val="22"/>
                <w:szCs w:val="22"/>
              </w:rPr>
              <w:t>C/I Severe, active infection</w:t>
            </w:r>
          </w:p>
          <w:p w14:paraId="2C2D0B43" w14:textId="77777777" w:rsidR="00FB0308" w:rsidRPr="00BB0D06" w:rsidRDefault="00FB0308" w:rsidP="00FD7634">
            <w:pPr>
              <w:widowControl w:val="0"/>
              <w:rPr>
                <w:sz w:val="22"/>
                <w:szCs w:val="22"/>
              </w:rPr>
            </w:pPr>
            <w:r w:rsidRPr="00BB0D06">
              <w:rPr>
                <w:sz w:val="22"/>
                <w:szCs w:val="22"/>
              </w:rPr>
              <w:t>Caution c</w:t>
            </w:r>
            <w:r>
              <w:rPr>
                <w:sz w:val="22"/>
                <w:szCs w:val="22"/>
              </w:rPr>
              <w:t>hronic or recurrent infection or persistent candidiasis</w:t>
            </w:r>
          </w:p>
          <w:p w14:paraId="5715C312" w14:textId="77777777" w:rsidR="00FB0308" w:rsidRPr="00BB0D06" w:rsidRDefault="00FB0308" w:rsidP="00FD7634">
            <w:pPr>
              <w:widowControl w:val="0"/>
              <w:rPr>
                <w:sz w:val="22"/>
                <w:szCs w:val="22"/>
              </w:rPr>
            </w:pPr>
            <w:r w:rsidRPr="00BB0D06">
              <w:rPr>
                <w:sz w:val="22"/>
                <w:szCs w:val="22"/>
              </w:rPr>
              <w:t>Crohn’s - risk of exacerbation</w:t>
            </w:r>
          </w:p>
          <w:p w14:paraId="78E974CC" w14:textId="77777777" w:rsidR="00FB0308" w:rsidRPr="00BB0D06" w:rsidRDefault="00FB0308" w:rsidP="00FD7634">
            <w:pPr>
              <w:widowControl w:val="0"/>
              <w:rPr>
                <w:sz w:val="22"/>
                <w:szCs w:val="22"/>
              </w:rPr>
            </w:pPr>
            <w:r w:rsidRPr="00BB0D06">
              <w:rPr>
                <w:sz w:val="22"/>
                <w:szCs w:val="22"/>
              </w:rPr>
              <w:t>Latex allergy - risk of reaction due to needle cap</w:t>
            </w:r>
          </w:p>
          <w:p w14:paraId="2F32A3CE" w14:textId="77777777" w:rsidR="00FB0308" w:rsidRPr="00BB0D06" w:rsidRDefault="00FB0308" w:rsidP="00FD7634">
            <w:pPr>
              <w:widowControl w:val="0"/>
              <w:rPr>
                <w:sz w:val="22"/>
                <w:szCs w:val="22"/>
              </w:rPr>
            </w:pPr>
            <w:r w:rsidRPr="00BB0D06">
              <w:rPr>
                <w:sz w:val="22"/>
                <w:szCs w:val="22"/>
              </w:rPr>
              <w:t>Risk of neutropenia</w:t>
            </w:r>
          </w:p>
          <w:p w14:paraId="44C2ECAE" w14:textId="77777777" w:rsidR="00FB0308" w:rsidRPr="00884993" w:rsidRDefault="00FB0308" w:rsidP="00FD7634">
            <w:pPr>
              <w:rPr>
                <w:sz w:val="22"/>
                <w:szCs w:val="22"/>
              </w:rPr>
            </w:pPr>
            <w:r w:rsidRPr="00BB0D06">
              <w:rPr>
                <w:sz w:val="22"/>
                <w:szCs w:val="22"/>
              </w:rPr>
              <w:t>Risk of hypersensitivity reaction</w:t>
            </w:r>
          </w:p>
        </w:tc>
      </w:tr>
      <w:tr w:rsidR="00FB0308" w:rsidRPr="00884993" w14:paraId="32726FE9" w14:textId="77777777" w:rsidTr="00FD7634">
        <w:trPr>
          <w:trHeight w:val="716"/>
        </w:trPr>
        <w:tc>
          <w:tcPr>
            <w:tcW w:w="3745" w:type="dxa"/>
            <w:shd w:val="clear" w:color="auto" w:fill="CCFFFF"/>
          </w:tcPr>
          <w:p w14:paraId="35E7E915" w14:textId="77777777" w:rsidR="00FB0308" w:rsidRPr="00884993" w:rsidRDefault="00FB0308" w:rsidP="00FD7634">
            <w:pPr>
              <w:rPr>
                <w:sz w:val="22"/>
                <w:szCs w:val="22"/>
              </w:rPr>
            </w:pPr>
            <w:r w:rsidRPr="00884993">
              <w:rPr>
                <w:sz w:val="22"/>
                <w:szCs w:val="22"/>
              </w:rPr>
              <w:t>Pregnancy &amp; Breastfeeding:</w:t>
            </w:r>
          </w:p>
        </w:tc>
        <w:tc>
          <w:tcPr>
            <w:tcW w:w="5271" w:type="dxa"/>
            <w:shd w:val="clear" w:color="auto" w:fill="auto"/>
          </w:tcPr>
          <w:p w14:paraId="1CE589DF" w14:textId="77777777" w:rsidR="00FB0308" w:rsidRPr="00BB0D06" w:rsidRDefault="00FB0308" w:rsidP="00FD7634">
            <w:pPr>
              <w:widowControl w:val="0"/>
              <w:rPr>
                <w:sz w:val="22"/>
                <w:szCs w:val="22"/>
                <w:highlight w:val="white"/>
              </w:rPr>
            </w:pPr>
            <w:r w:rsidRPr="00BB0D06">
              <w:rPr>
                <w:sz w:val="22"/>
                <w:szCs w:val="22"/>
                <w:highlight w:val="white"/>
              </w:rPr>
              <w:t xml:space="preserve">Women of childbearing potential - contraception during and for at least 20 wks after treatment. </w:t>
            </w:r>
          </w:p>
          <w:p w14:paraId="2CE6EF2E" w14:textId="77777777" w:rsidR="00FB0308" w:rsidRPr="00BB0D06" w:rsidRDefault="00FB0308" w:rsidP="00FD7634">
            <w:pPr>
              <w:widowControl w:val="0"/>
              <w:rPr>
                <w:sz w:val="22"/>
                <w:szCs w:val="22"/>
              </w:rPr>
            </w:pPr>
            <w:r w:rsidRPr="00BB0D06">
              <w:rPr>
                <w:sz w:val="22"/>
                <w:szCs w:val="22"/>
                <w:highlight w:val="white"/>
              </w:rPr>
              <w:t>Breastfeeding - not recommended</w:t>
            </w:r>
          </w:p>
        </w:tc>
      </w:tr>
      <w:tr w:rsidR="00FB0308" w:rsidRPr="00884993" w14:paraId="78732134" w14:textId="77777777" w:rsidTr="00FD7634">
        <w:trPr>
          <w:trHeight w:val="311"/>
        </w:trPr>
        <w:tc>
          <w:tcPr>
            <w:tcW w:w="3745" w:type="dxa"/>
            <w:shd w:val="clear" w:color="auto" w:fill="CCFFFF"/>
          </w:tcPr>
          <w:p w14:paraId="6B3BF9F6" w14:textId="77777777" w:rsidR="00FB0308" w:rsidRPr="00884993" w:rsidRDefault="00FB0308" w:rsidP="00FD7634">
            <w:pPr>
              <w:rPr>
                <w:sz w:val="22"/>
                <w:szCs w:val="22"/>
              </w:rPr>
            </w:pPr>
            <w:r w:rsidRPr="00884993">
              <w:rPr>
                <w:sz w:val="22"/>
                <w:szCs w:val="22"/>
              </w:rPr>
              <w:t>Assessment of Response:</w:t>
            </w:r>
          </w:p>
        </w:tc>
        <w:tc>
          <w:tcPr>
            <w:tcW w:w="5271" w:type="dxa"/>
            <w:shd w:val="clear" w:color="auto" w:fill="auto"/>
          </w:tcPr>
          <w:p w14:paraId="76F134AC" w14:textId="77777777" w:rsidR="00FB0308" w:rsidRDefault="00FB0308" w:rsidP="00FD7634">
            <w:pPr>
              <w:rPr>
                <w:sz w:val="22"/>
                <w:szCs w:val="22"/>
              </w:rPr>
            </w:pPr>
            <w:r w:rsidRPr="00BB0D06">
              <w:rPr>
                <w:sz w:val="22"/>
                <w:szCs w:val="22"/>
              </w:rPr>
              <w:t>PsA-  PsARC 24 wk, 2 out of 4 incl joint tenderness or swelling</w:t>
            </w:r>
            <w:r>
              <w:rPr>
                <w:sz w:val="22"/>
                <w:szCs w:val="22"/>
              </w:rPr>
              <w:t>, plus no worsening of criteria</w:t>
            </w:r>
          </w:p>
          <w:p w14:paraId="1E7E9050" w14:textId="77777777" w:rsidR="00FB0308" w:rsidRPr="00884993" w:rsidRDefault="00FB0308" w:rsidP="00FD7634">
            <w:pPr>
              <w:rPr>
                <w:sz w:val="22"/>
                <w:szCs w:val="22"/>
              </w:rPr>
            </w:pPr>
            <w:r>
              <w:rPr>
                <w:sz w:val="22"/>
                <w:szCs w:val="22"/>
              </w:rPr>
              <w:t xml:space="preserve">AS- </w:t>
            </w:r>
            <w:r w:rsidRPr="00BB0D06">
              <w:rPr>
                <w:sz w:val="22"/>
                <w:szCs w:val="22"/>
              </w:rPr>
              <w:t>16 wk BASDAI 50% reduction or at least 2 units plus at least 2cm improvement in VAS</w:t>
            </w:r>
          </w:p>
        </w:tc>
      </w:tr>
      <w:tr w:rsidR="00FB0308" w:rsidRPr="00884993" w14:paraId="1191E157" w14:textId="77777777" w:rsidTr="00FD7634">
        <w:trPr>
          <w:trHeight w:val="1771"/>
        </w:trPr>
        <w:tc>
          <w:tcPr>
            <w:tcW w:w="3745" w:type="dxa"/>
            <w:shd w:val="clear" w:color="auto" w:fill="CCFFFF"/>
          </w:tcPr>
          <w:p w14:paraId="73CDC76A" w14:textId="77777777" w:rsidR="00FB0308" w:rsidRPr="00884993" w:rsidRDefault="00FB0308" w:rsidP="00FD7634">
            <w:pPr>
              <w:rPr>
                <w:sz w:val="22"/>
                <w:szCs w:val="22"/>
              </w:rPr>
            </w:pPr>
            <w:r w:rsidRPr="00884993">
              <w:rPr>
                <w:sz w:val="22"/>
                <w:szCs w:val="22"/>
              </w:rPr>
              <w:t>Baseline Tests:</w:t>
            </w:r>
          </w:p>
        </w:tc>
        <w:tc>
          <w:tcPr>
            <w:tcW w:w="5271" w:type="dxa"/>
            <w:shd w:val="clear" w:color="auto" w:fill="auto"/>
          </w:tcPr>
          <w:p w14:paraId="386833B5" w14:textId="77777777" w:rsidR="00FB0308" w:rsidRPr="00BB0D06" w:rsidRDefault="00FB0308" w:rsidP="00FD7634">
            <w:pPr>
              <w:widowControl w:val="0"/>
              <w:rPr>
                <w:sz w:val="22"/>
                <w:szCs w:val="22"/>
              </w:rPr>
            </w:pPr>
            <w:r w:rsidRPr="00BB0D06">
              <w:rPr>
                <w:sz w:val="22"/>
                <w:szCs w:val="22"/>
              </w:rPr>
              <w:t xml:space="preserve">FBC </w:t>
            </w:r>
          </w:p>
          <w:p w14:paraId="10946685" w14:textId="77777777" w:rsidR="00FB0308" w:rsidRPr="00BB0D06" w:rsidRDefault="00FB0308" w:rsidP="00FD7634">
            <w:pPr>
              <w:widowControl w:val="0"/>
              <w:rPr>
                <w:sz w:val="22"/>
                <w:szCs w:val="22"/>
              </w:rPr>
            </w:pPr>
            <w:r w:rsidRPr="00BB0D06">
              <w:rPr>
                <w:sz w:val="22"/>
                <w:szCs w:val="22"/>
              </w:rPr>
              <w:t xml:space="preserve">LFT’s </w:t>
            </w:r>
          </w:p>
          <w:p w14:paraId="282DC5E6" w14:textId="77777777" w:rsidR="00FB0308" w:rsidRPr="00BB0D06" w:rsidRDefault="00FB0308" w:rsidP="00FD7634">
            <w:pPr>
              <w:widowControl w:val="0"/>
              <w:rPr>
                <w:sz w:val="22"/>
                <w:szCs w:val="22"/>
              </w:rPr>
            </w:pPr>
            <w:r w:rsidRPr="00BB0D06">
              <w:rPr>
                <w:sz w:val="22"/>
                <w:szCs w:val="22"/>
              </w:rPr>
              <w:t>U&amp;E</w:t>
            </w:r>
          </w:p>
          <w:p w14:paraId="7F0DCA43" w14:textId="77777777" w:rsidR="00FB0308" w:rsidRDefault="00FB0308" w:rsidP="00FD7634">
            <w:pPr>
              <w:widowControl w:val="0"/>
              <w:rPr>
                <w:sz w:val="22"/>
                <w:szCs w:val="22"/>
              </w:rPr>
            </w:pPr>
            <w:r>
              <w:rPr>
                <w:sz w:val="22"/>
                <w:szCs w:val="22"/>
              </w:rPr>
              <w:t xml:space="preserve">Consider </w:t>
            </w:r>
            <w:r w:rsidRPr="00BB0D06">
              <w:rPr>
                <w:sz w:val="22"/>
                <w:szCs w:val="22"/>
              </w:rPr>
              <w:t xml:space="preserve">CXR                        </w:t>
            </w:r>
          </w:p>
          <w:p w14:paraId="4F157801" w14:textId="77777777" w:rsidR="00FB0308" w:rsidRPr="00BB0D06" w:rsidRDefault="00FB0308" w:rsidP="00FD7634">
            <w:pPr>
              <w:widowControl w:val="0"/>
              <w:rPr>
                <w:sz w:val="22"/>
                <w:szCs w:val="22"/>
              </w:rPr>
            </w:pPr>
            <w:r>
              <w:rPr>
                <w:sz w:val="22"/>
                <w:szCs w:val="22"/>
              </w:rPr>
              <w:t xml:space="preserve">Consider </w:t>
            </w:r>
            <w:r w:rsidRPr="00BB0D06">
              <w:rPr>
                <w:sz w:val="22"/>
                <w:szCs w:val="22"/>
              </w:rPr>
              <w:t>Hepatitis B and C</w:t>
            </w:r>
            <w:r>
              <w:rPr>
                <w:sz w:val="22"/>
                <w:szCs w:val="22"/>
              </w:rPr>
              <w:t xml:space="preserve">. quantiferon, </w:t>
            </w:r>
            <w:r w:rsidRPr="00BB0D06">
              <w:rPr>
                <w:sz w:val="22"/>
                <w:szCs w:val="22"/>
              </w:rPr>
              <w:t>HIV</w:t>
            </w:r>
            <w:r>
              <w:rPr>
                <w:sz w:val="22"/>
                <w:szCs w:val="22"/>
              </w:rPr>
              <w:t xml:space="preserve"> testing</w:t>
            </w:r>
          </w:p>
          <w:p w14:paraId="05A9AE63" w14:textId="77777777" w:rsidR="00FB0308" w:rsidRPr="00BB0D06" w:rsidRDefault="00FB0308" w:rsidP="00FD7634">
            <w:pPr>
              <w:widowControl w:val="0"/>
              <w:rPr>
                <w:sz w:val="22"/>
                <w:szCs w:val="22"/>
              </w:rPr>
            </w:pPr>
            <w:r>
              <w:rPr>
                <w:sz w:val="22"/>
                <w:szCs w:val="22"/>
              </w:rPr>
              <w:t xml:space="preserve">Consider </w:t>
            </w:r>
            <w:r w:rsidRPr="00BB0D06">
              <w:rPr>
                <w:sz w:val="22"/>
                <w:szCs w:val="22"/>
              </w:rPr>
              <w:t>Urinalysis</w:t>
            </w:r>
          </w:p>
          <w:p w14:paraId="5993AE48" w14:textId="77777777" w:rsidR="00FB0308" w:rsidRPr="00884993" w:rsidRDefault="00FB0308" w:rsidP="00FD7634">
            <w:pPr>
              <w:rPr>
                <w:sz w:val="22"/>
                <w:szCs w:val="22"/>
              </w:rPr>
            </w:pPr>
            <w:r w:rsidRPr="00BB0D06">
              <w:rPr>
                <w:sz w:val="22"/>
                <w:szCs w:val="22"/>
              </w:rPr>
              <w:t>*Consider pregnancy test</w:t>
            </w:r>
          </w:p>
        </w:tc>
      </w:tr>
      <w:tr w:rsidR="00FB0308" w:rsidRPr="00884993" w14:paraId="04B96975" w14:textId="77777777" w:rsidTr="00FD7634">
        <w:trPr>
          <w:trHeight w:val="421"/>
        </w:trPr>
        <w:tc>
          <w:tcPr>
            <w:tcW w:w="3745" w:type="dxa"/>
            <w:shd w:val="clear" w:color="auto" w:fill="CCFFFF"/>
          </w:tcPr>
          <w:p w14:paraId="247E90A3" w14:textId="77777777" w:rsidR="00FB0308" w:rsidRPr="00884993" w:rsidRDefault="00FB0308" w:rsidP="00FD7634">
            <w:pPr>
              <w:rPr>
                <w:sz w:val="22"/>
                <w:szCs w:val="22"/>
              </w:rPr>
            </w:pPr>
            <w:r w:rsidRPr="00884993">
              <w:rPr>
                <w:sz w:val="22"/>
                <w:szCs w:val="22"/>
              </w:rPr>
              <w:t>Routine Monitoring:</w:t>
            </w:r>
          </w:p>
        </w:tc>
        <w:tc>
          <w:tcPr>
            <w:tcW w:w="5271" w:type="dxa"/>
            <w:shd w:val="clear" w:color="auto" w:fill="auto"/>
          </w:tcPr>
          <w:p w14:paraId="267F8260" w14:textId="38627596" w:rsidR="00FB0308" w:rsidRPr="00884993" w:rsidRDefault="00FB0308" w:rsidP="00FD7634">
            <w:pPr>
              <w:rPr>
                <w:sz w:val="22"/>
                <w:szCs w:val="22"/>
              </w:rPr>
            </w:pPr>
            <w:r w:rsidRPr="006E04A0">
              <w:rPr>
                <w:sz w:val="22"/>
                <w:szCs w:val="22"/>
              </w:rPr>
              <w:t xml:space="preserve">Current advice is  </w:t>
            </w:r>
            <w:r>
              <w:rPr>
                <w:sz w:val="22"/>
                <w:szCs w:val="22"/>
              </w:rPr>
              <w:t xml:space="preserve">FBC </w:t>
            </w:r>
            <w:r w:rsidRPr="006E04A0">
              <w:rPr>
                <w:sz w:val="22"/>
                <w:szCs w:val="22"/>
              </w:rPr>
              <w:t xml:space="preserve">and </w:t>
            </w:r>
            <w:r>
              <w:rPr>
                <w:sz w:val="22"/>
                <w:szCs w:val="22"/>
              </w:rPr>
              <w:t>LFTs</w:t>
            </w:r>
            <w:r w:rsidR="00301B71">
              <w:rPr>
                <w:sz w:val="22"/>
                <w:szCs w:val="22"/>
              </w:rPr>
              <w:t xml:space="preserve"> 6 monthly</w:t>
            </w:r>
            <w:r w:rsidRPr="006E04A0">
              <w:rPr>
                <w:sz w:val="22"/>
                <w:szCs w:val="22"/>
              </w:rPr>
              <w:t>, but this is not mandated</w:t>
            </w:r>
          </w:p>
        </w:tc>
      </w:tr>
      <w:tr w:rsidR="00FB0308" w:rsidRPr="00884993" w14:paraId="3A243485" w14:textId="77777777" w:rsidTr="00FD7634">
        <w:trPr>
          <w:trHeight w:val="1912"/>
        </w:trPr>
        <w:tc>
          <w:tcPr>
            <w:tcW w:w="3745" w:type="dxa"/>
            <w:shd w:val="clear" w:color="auto" w:fill="CCFFFF"/>
          </w:tcPr>
          <w:p w14:paraId="580F530B" w14:textId="77777777" w:rsidR="00FB0308" w:rsidRPr="00884993" w:rsidRDefault="00FB0308" w:rsidP="00FD7634">
            <w:pPr>
              <w:rPr>
                <w:sz w:val="22"/>
                <w:szCs w:val="22"/>
              </w:rPr>
            </w:pPr>
            <w:r w:rsidRPr="00884993">
              <w:rPr>
                <w:sz w:val="22"/>
                <w:szCs w:val="22"/>
              </w:rPr>
              <w:t xml:space="preserve">Indications for Stopping Therapy: </w:t>
            </w:r>
          </w:p>
        </w:tc>
        <w:tc>
          <w:tcPr>
            <w:tcW w:w="5271" w:type="dxa"/>
            <w:shd w:val="clear" w:color="auto" w:fill="auto"/>
          </w:tcPr>
          <w:p w14:paraId="5EF1A6E9" w14:textId="77777777" w:rsidR="00FB0308" w:rsidRPr="006E04A0" w:rsidRDefault="00FB0308" w:rsidP="00FD7634">
            <w:pPr>
              <w:widowControl w:val="0"/>
              <w:rPr>
                <w:sz w:val="22"/>
                <w:szCs w:val="22"/>
              </w:rPr>
            </w:pPr>
            <w:r w:rsidRPr="006E04A0">
              <w:rPr>
                <w:sz w:val="22"/>
                <w:szCs w:val="22"/>
              </w:rPr>
              <w:t>Severe infection</w:t>
            </w:r>
          </w:p>
          <w:p w14:paraId="779D1148" w14:textId="77777777" w:rsidR="00FB0308" w:rsidRPr="006E04A0" w:rsidRDefault="00FB0308" w:rsidP="00FD7634">
            <w:pPr>
              <w:widowControl w:val="0"/>
              <w:rPr>
                <w:sz w:val="22"/>
                <w:szCs w:val="22"/>
              </w:rPr>
            </w:pPr>
            <w:r w:rsidRPr="006E04A0">
              <w:rPr>
                <w:sz w:val="22"/>
                <w:szCs w:val="22"/>
              </w:rPr>
              <w:t>Exacerbation of Crohn’s</w:t>
            </w:r>
          </w:p>
          <w:p w14:paraId="5FACF2C9" w14:textId="77777777" w:rsidR="00FB0308" w:rsidRPr="006E04A0" w:rsidRDefault="00FB0308" w:rsidP="00FD7634">
            <w:pPr>
              <w:widowControl w:val="0"/>
              <w:rPr>
                <w:sz w:val="22"/>
                <w:szCs w:val="22"/>
              </w:rPr>
            </w:pPr>
            <w:r>
              <w:rPr>
                <w:sz w:val="22"/>
                <w:szCs w:val="22"/>
              </w:rPr>
              <w:t>ANC &lt;1.0 *10</w:t>
            </w:r>
            <w:r>
              <w:rPr>
                <w:sz w:val="22"/>
                <w:szCs w:val="22"/>
                <w:vertAlign w:val="superscript"/>
              </w:rPr>
              <w:t xml:space="preserve">9 </w:t>
            </w:r>
            <w:r>
              <w:rPr>
                <w:sz w:val="22"/>
                <w:szCs w:val="22"/>
              </w:rPr>
              <w:t>cell/L</w:t>
            </w:r>
          </w:p>
          <w:p w14:paraId="08EAFE23" w14:textId="77777777" w:rsidR="00FB0308" w:rsidRPr="00884993" w:rsidRDefault="00FB0308" w:rsidP="00FD7634">
            <w:pPr>
              <w:rPr>
                <w:sz w:val="22"/>
                <w:szCs w:val="22"/>
              </w:rPr>
            </w:pPr>
            <w:r w:rsidRPr="006E04A0">
              <w:rPr>
                <w:sz w:val="22"/>
                <w:szCs w:val="22"/>
              </w:rPr>
              <w:t>Symptoms suggestive of hypersensitivity - injection site rash, rash, urticaria and/or dyspnoea</w:t>
            </w:r>
          </w:p>
        </w:tc>
      </w:tr>
      <w:tr w:rsidR="00FB0308" w:rsidRPr="00884993" w14:paraId="3F90429F" w14:textId="77777777" w:rsidTr="00FD7634">
        <w:trPr>
          <w:trHeight w:val="934"/>
        </w:trPr>
        <w:tc>
          <w:tcPr>
            <w:tcW w:w="9016" w:type="dxa"/>
            <w:gridSpan w:val="2"/>
            <w:shd w:val="clear" w:color="auto" w:fill="auto"/>
          </w:tcPr>
          <w:p w14:paraId="19FFA7D0" w14:textId="77777777" w:rsidR="00FB0308" w:rsidRPr="00884993" w:rsidRDefault="00FB0308" w:rsidP="00FD7634">
            <w:pPr>
              <w:rPr>
                <w:sz w:val="22"/>
                <w:szCs w:val="22"/>
              </w:rPr>
            </w:pPr>
            <w:r w:rsidRPr="00884993">
              <w:rPr>
                <w:sz w:val="22"/>
                <w:szCs w:val="22"/>
              </w:rPr>
              <w:t>Please refer to licensed datasheet for more comprehensive prescribing information:</w:t>
            </w:r>
          </w:p>
          <w:p w14:paraId="7FD593B3" w14:textId="77777777" w:rsidR="00FB0308" w:rsidRPr="00884993" w:rsidRDefault="00FB0308" w:rsidP="00FD7634">
            <w:pPr>
              <w:rPr>
                <w:sz w:val="22"/>
                <w:szCs w:val="22"/>
              </w:rPr>
            </w:pPr>
            <w:r w:rsidRPr="00BB0D06">
              <w:rPr>
                <w:sz w:val="22"/>
                <w:szCs w:val="22"/>
              </w:rPr>
              <w:t>https://www.medicines.org.uk/emc/product/3669/smpc</w:t>
            </w:r>
            <w:r w:rsidRPr="00884993">
              <w:rPr>
                <w:sz w:val="22"/>
                <w:szCs w:val="22"/>
              </w:rPr>
              <w:t xml:space="preserve"> </w:t>
            </w:r>
          </w:p>
        </w:tc>
      </w:tr>
    </w:tbl>
    <w:p w14:paraId="1C58ACB3" w14:textId="77777777" w:rsidR="00FB0308" w:rsidRDefault="00FB0308" w:rsidP="00FB0308"/>
    <w:p w14:paraId="1E277BF0" w14:textId="77777777" w:rsidR="00AD75BF" w:rsidRDefault="00AD75BF" w:rsidP="00492B26">
      <w:pPr>
        <w:overflowPunct/>
        <w:autoSpaceDE/>
        <w:autoSpaceDN/>
        <w:adjustRightInd/>
        <w:spacing w:after="160" w:line="259" w:lineRule="auto"/>
        <w:textAlignment w:val="auto"/>
        <w:rPr>
          <w:sz w:val="20"/>
        </w:rPr>
      </w:pPr>
    </w:p>
    <w:p w14:paraId="40A19BDE" w14:textId="77777777" w:rsidR="00C63F80" w:rsidRDefault="00C63F80" w:rsidP="00492B26">
      <w:pPr>
        <w:overflowPunct/>
        <w:autoSpaceDE/>
        <w:autoSpaceDN/>
        <w:adjustRightInd/>
        <w:spacing w:after="160" w:line="259" w:lineRule="auto"/>
        <w:textAlignment w:val="auto"/>
        <w:rPr>
          <w:sz w:val="20"/>
        </w:rPr>
      </w:pPr>
    </w:p>
    <w:p w14:paraId="6B665120" w14:textId="77777777" w:rsidR="00C63F80" w:rsidRDefault="00C63F80" w:rsidP="00C63F80">
      <w:pPr>
        <w:overflowPunct/>
        <w:autoSpaceDE/>
        <w:autoSpaceDN/>
        <w:adjustRightInd/>
        <w:spacing w:after="160" w:line="259" w:lineRule="auto"/>
        <w:textAlignment w:val="auto"/>
      </w:pPr>
    </w:p>
    <w:p w14:paraId="4F433B13" w14:textId="77777777" w:rsidR="00C63F80" w:rsidRDefault="00C63F80" w:rsidP="00C63F80">
      <w:pPr>
        <w:overflowPunct/>
        <w:autoSpaceDE/>
        <w:autoSpaceDN/>
        <w:adjustRightInd/>
        <w:spacing w:after="160" w:line="259" w:lineRule="auto"/>
        <w:textAlignment w:val="auto"/>
      </w:pPr>
    </w:p>
    <w:p w14:paraId="613E2AE2" w14:textId="77777777" w:rsidR="00C63F80" w:rsidRDefault="00C63F80" w:rsidP="00C63F80">
      <w:pPr>
        <w:overflowPunct/>
        <w:autoSpaceDE/>
        <w:autoSpaceDN/>
        <w:adjustRightInd/>
        <w:spacing w:after="160" w:line="259" w:lineRule="auto"/>
        <w:textAlignment w:val="auto"/>
      </w:pPr>
    </w:p>
    <w:p w14:paraId="28FFF7EB" w14:textId="77777777" w:rsidR="00C63F80" w:rsidRDefault="00C63F80" w:rsidP="00C63F80">
      <w:pPr>
        <w:overflowPunct/>
        <w:autoSpaceDE/>
        <w:autoSpaceDN/>
        <w:adjustRightInd/>
        <w:spacing w:after="160" w:line="259" w:lineRule="auto"/>
        <w:textAlignment w:val="auto"/>
      </w:pPr>
    </w:p>
    <w:tbl>
      <w:tblPr>
        <w:tblpPr w:leftFromText="180" w:rightFromText="180" w:vertAnchor="page" w:horzAnchor="margin" w:tblpY="2536"/>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5271"/>
      </w:tblGrid>
      <w:tr w:rsidR="00FB0308" w:rsidRPr="00884993" w14:paraId="30ED21A5" w14:textId="77777777" w:rsidTr="00FB0308">
        <w:trPr>
          <w:trHeight w:val="480"/>
        </w:trPr>
        <w:tc>
          <w:tcPr>
            <w:tcW w:w="3745" w:type="dxa"/>
            <w:shd w:val="clear" w:color="auto" w:fill="CCFFFF"/>
          </w:tcPr>
          <w:p w14:paraId="4BB7D97B" w14:textId="77777777" w:rsidR="00FB0308" w:rsidRPr="00884993" w:rsidRDefault="00FB0308" w:rsidP="00FB0308">
            <w:pPr>
              <w:rPr>
                <w:sz w:val="22"/>
                <w:szCs w:val="22"/>
              </w:rPr>
            </w:pPr>
            <w:r w:rsidRPr="00884993">
              <w:rPr>
                <w:sz w:val="22"/>
                <w:szCs w:val="22"/>
              </w:rPr>
              <w:t>Therapeutic class:</w:t>
            </w:r>
          </w:p>
        </w:tc>
        <w:tc>
          <w:tcPr>
            <w:tcW w:w="5271" w:type="dxa"/>
            <w:shd w:val="clear" w:color="auto" w:fill="auto"/>
          </w:tcPr>
          <w:p w14:paraId="671F2577" w14:textId="77777777" w:rsidR="00FB0308" w:rsidRPr="00884993" w:rsidRDefault="00FB0308" w:rsidP="00FB0308">
            <w:pPr>
              <w:rPr>
                <w:sz w:val="22"/>
                <w:szCs w:val="22"/>
              </w:rPr>
            </w:pPr>
            <w:r w:rsidRPr="005C56E7">
              <w:rPr>
                <w:color w:val="000000"/>
                <w:kern w:val="24"/>
                <w:sz w:val="22"/>
                <w:szCs w:val="22"/>
                <w:lang w:eastAsia="en-GB"/>
              </w:rPr>
              <w:t xml:space="preserve">IgG1κ monoclonal antibody that binds to the shared p40 protein subunit of </w:t>
            </w:r>
            <w:r>
              <w:rPr>
                <w:color w:val="000000"/>
                <w:kern w:val="24"/>
                <w:sz w:val="22"/>
                <w:szCs w:val="22"/>
                <w:lang w:eastAsia="en-GB"/>
              </w:rPr>
              <w:t>IL</w:t>
            </w:r>
            <w:r w:rsidRPr="005C56E7">
              <w:rPr>
                <w:color w:val="000000"/>
                <w:kern w:val="24"/>
                <w:sz w:val="22"/>
                <w:szCs w:val="22"/>
                <w:lang w:eastAsia="en-GB"/>
              </w:rPr>
              <w:t>-12 and IL-23</w:t>
            </w:r>
          </w:p>
        </w:tc>
      </w:tr>
      <w:tr w:rsidR="00FB0308" w:rsidRPr="00884993" w14:paraId="17F58036" w14:textId="77777777" w:rsidTr="00FB0308">
        <w:trPr>
          <w:trHeight w:val="603"/>
        </w:trPr>
        <w:tc>
          <w:tcPr>
            <w:tcW w:w="3745" w:type="dxa"/>
            <w:shd w:val="clear" w:color="auto" w:fill="CCFFFF"/>
          </w:tcPr>
          <w:p w14:paraId="14308180" w14:textId="77777777" w:rsidR="00FB0308" w:rsidRPr="00884993" w:rsidRDefault="00FB0308" w:rsidP="00FB0308">
            <w:pPr>
              <w:rPr>
                <w:sz w:val="22"/>
                <w:szCs w:val="22"/>
              </w:rPr>
            </w:pPr>
            <w:r w:rsidRPr="00884993">
              <w:rPr>
                <w:sz w:val="22"/>
                <w:szCs w:val="22"/>
              </w:rPr>
              <w:t>Licensed Dose:</w:t>
            </w:r>
          </w:p>
        </w:tc>
        <w:tc>
          <w:tcPr>
            <w:tcW w:w="5271" w:type="dxa"/>
            <w:shd w:val="clear" w:color="auto" w:fill="auto"/>
          </w:tcPr>
          <w:p w14:paraId="23E4B4B6" w14:textId="77777777" w:rsidR="00FB0308" w:rsidRPr="00884993" w:rsidRDefault="00FB0308" w:rsidP="00FB0308">
            <w:pPr>
              <w:widowControl w:val="0"/>
              <w:rPr>
                <w:sz w:val="22"/>
                <w:szCs w:val="22"/>
              </w:rPr>
            </w:pPr>
            <w:r w:rsidRPr="00BB0D06">
              <w:rPr>
                <w:b/>
                <w:sz w:val="22"/>
                <w:szCs w:val="22"/>
              </w:rPr>
              <w:t>PsA</w:t>
            </w:r>
            <w:r w:rsidRPr="00BB0D06">
              <w:rPr>
                <w:sz w:val="22"/>
                <w:szCs w:val="22"/>
              </w:rPr>
              <w:t xml:space="preserve">  - 45mg sc then 45mg 4 weeks later and then 45mg 12 weekly. Consider 90mg dose if &gt;100kg</w:t>
            </w:r>
          </w:p>
        </w:tc>
      </w:tr>
      <w:tr w:rsidR="00FB0308" w:rsidRPr="00884993" w14:paraId="37178D3F" w14:textId="77777777" w:rsidTr="00FB0308">
        <w:trPr>
          <w:trHeight w:val="291"/>
        </w:trPr>
        <w:tc>
          <w:tcPr>
            <w:tcW w:w="3745" w:type="dxa"/>
            <w:shd w:val="clear" w:color="auto" w:fill="CCFFFF"/>
          </w:tcPr>
          <w:p w14:paraId="40446624" w14:textId="77777777" w:rsidR="00FB0308" w:rsidRPr="00884993" w:rsidRDefault="00FB0308" w:rsidP="00FB0308">
            <w:pPr>
              <w:rPr>
                <w:sz w:val="22"/>
                <w:szCs w:val="22"/>
              </w:rPr>
            </w:pPr>
            <w:r w:rsidRPr="00884993">
              <w:rPr>
                <w:sz w:val="22"/>
                <w:szCs w:val="22"/>
              </w:rPr>
              <w:t>NICE Guidance:</w:t>
            </w:r>
          </w:p>
        </w:tc>
        <w:tc>
          <w:tcPr>
            <w:tcW w:w="5271" w:type="dxa"/>
            <w:shd w:val="clear" w:color="auto" w:fill="auto"/>
          </w:tcPr>
          <w:p w14:paraId="1B0F5AB5" w14:textId="77777777" w:rsidR="00FB0308" w:rsidRPr="00586C73" w:rsidRDefault="00323D19" w:rsidP="00FB0308">
            <w:pPr>
              <w:rPr>
                <w:sz w:val="22"/>
                <w:szCs w:val="22"/>
              </w:rPr>
            </w:pPr>
            <w:hyperlink r:id="rId108" w:history="1">
              <w:r w:rsidR="00FB0308" w:rsidRPr="00AD75BF">
                <w:rPr>
                  <w:rStyle w:val="Hyperlink"/>
                  <w:kern w:val="24"/>
                  <w:sz w:val="22"/>
                  <w:szCs w:val="22"/>
                  <w:lang w:eastAsia="en-GB"/>
                </w:rPr>
                <w:t>TA340</w:t>
              </w:r>
            </w:hyperlink>
          </w:p>
        </w:tc>
      </w:tr>
      <w:tr w:rsidR="00FB0308" w:rsidRPr="00884993" w14:paraId="3E3F7373" w14:textId="77777777" w:rsidTr="00FB0308">
        <w:trPr>
          <w:trHeight w:val="291"/>
        </w:trPr>
        <w:tc>
          <w:tcPr>
            <w:tcW w:w="3745" w:type="dxa"/>
            <w:shd w:val="clear" w:color="auto" w:fill="CCFFFF"/>
          </w:tcPr>
          <w:p w14:paraId="1D928C45" w14:textId="77777777" w:rsidR="00FB0308" w:rsidRPr="00884993" w:rsidRDefault="00FB0308" w:rsidP="00FB0308">
            <w:pPr>
              <w:rPr>
                <w:sz w:val="22"/>
                <w:szCs w:val="22"/>
              </w:rPr>
            </w:pPr>
            <w:r>
              <w:rPr>
                <w:sz w:val="22"/>
                <w:szCs w:val="22"/>
              </w:rPr>
              <w:t>Renal/hepatic impairment/</w:t>
            </w:r>
            <w:r w:rsidRPr="00BB0D06">
              <w:rPr>
                <w:sz w:val="22"/>
                <w:szCs w:val="22"/>
              </w:rPr>
              <w:t>Elderly</w:t>
            </w:r>
          </w:p>
        </w:tc>
        <w:tc>
          <w:tcPr>
            <w:tcW w:w="5271" w:type="dxa"/>
            <w:shd w:val="clear" w:color="auto" w:fill="auto"/>
          </w:tcPr>
          <w:p w14:paraId="1A1BF980" w14:textId="77777777" w:rsidR="00FB0308" w:rsidRDefault="00FB0308" w:rsidP="00FB0308">
            <w:pPr>
              <w:rPr>
                <w:color w:val="000000"/>
                <w:kern w:val="24"/>
                <w:sz w:val="22"/>
                <w:szCs w:val="22"/>
                <w:lang w:eastAsia="en-GB"/>
              </w:rPr>
            </w:pPr>
            <w:r w:rsidRPr="00BB0D06">
              <w:rPr>
                <w:sz w:val="22"/>
                <w:szCs w:val="22"/>
              </w:rPr>
              <w:t>No dose adjustment</w:t>
            </w:r>
          </w:p>
        </w:tc>
      </w:tr>
      <w:tr w:rsidR="00FB0308" w:rsidRPr="00884993" w14:paraId="733E24B1" w14:textId="77777777" w:rsidTr="00FB0308">
        <w:trPr>
          <w:trHeight w:val="716"/>
        </w:trPr>
        <w:tc>
          <w:tcPr>
            <w:tcW w:w="3745" w:type="dxa"/>
            <w:shd w:val="clear" w:color="auto" w:fill="CCFFFF"/>
          </w:tcPr>
          <w:p w14:paraId="233CD55A" w14:textId="77777777" w:rsidR="00FB0308" w:rsidRPr="00884993" w:rsidRDefault="00FB0308" w:rsidP="00FB0308">
            <w:pPr>
              <w:rPr>
                <w:sz w:val="22"/>
                <w:szCs w:val="22"/>
              </w:rPr>
            </w:pPr>
            <w:r w:rsidRPr="00884993">
              <w:rPr>
                <w:sz w:val="22"/>
                <w:szCs w:val="22"/>
              </w:rPr>
              <w:t>Warnings/Contra-indications/Significant drug interactions:</w:t>
            </w:r>
          </w:p>
          <w:p w14:paraId="6FD1979D" w14:textId="77777777" w:rsidR="00FB0308" w:rsidRPr="00884993" w:rsidRDefault="00FB0308" w:rsidP="00FB0308">
            <w:pPr>
              <w:rPr>
                <w:sz w:val="22"/>
                <w:szCs w:val="22"/>
              </w:rPr>
            </w:pPr>
            <w:r w:rsidRPr="00884993">
              <w:rPr>
                <w:sz w:val="22"/>
                <w:szCs w:val="22"/>
              </w:rPr>
              <w:t>(*Refer to licensed datasheet for special warnings)</w:t>
            </w:r>
          </w:p>
        </w:tc>
        <w:tc>
          <w:tcPr>
            <w:tcW w:w="5271" w:type="dxa"/>
            <w:shd w:val="clear" w:color="auto" w:fill="auto"/>
          </w:tcPr>
          <w:p w14:paraId="56B24B88" w14:textId="77777777" w:rsidR="00FB0308" w:rsidRPr="00BB0D06" w:rsidRDefault="00FB0308" w:rsidP="00FB0308">
            <w:pPr>
              <w:widowControl w:val="0"/>
              <w:rPr>
                <w:sz w:val="22"/>
                <w:szCs w:val="22"/>
              </w:rPr>
            </w:pPr>
            <w:r w:rsidRPr="00BB0D06">
              <w:rPr>
                <w:sz w:val="22"/>
                <w:szCs w:val="22"/>
              </w:rPr>
              <w:t>Caution</w:t>
            </w:r>
            <w:r>
              <w:rPr>
                <w:sz w:val="22"/>
                <w:szCs w:val="22"/>
              </w:rPr>
              <w:t xml:space="preserve"> in active or</w:t>
            </w:r>
            <w:r w:rsidRPr="00BB0D06">
              <w:rPr>
                <w:sz w:val="22"/>
                <w:szCs w:val="22"/>
              </w:rPr>
              <w:t xml:space="preserve"> chronic </w:t>
            </w:r>
            <w:r>
              <w:rPr>
                <w:sz w:val="22"/>
                <w:szCs w:val="22"/>
              </w:rPr>
              <w:t>infection</w:t>
            </w:r>
          </w:p>
          <w:p w14:paraId="11089705" w14:textId="77777777" w:rsidR="00FB0308" w:rsidRPr="00BB0D06" w:rsidRDefault="00FB0308" w:rsidP="00FB0308">
            <w:pPr>
              <w:widowControl w:val="0"/>
              <w:rPr>
                <w:sz w:val="22"/>
                <w:szCs w:val="22"/>
              </w:rPr>
            </w:pPr>
            <w:r w:rsidRPr="00BB0D06">
              <w:rPr>
                <w:sz w:val="22"/>
                <w:szCs w:val="22"/>
              </w:rPr>
              <w:t>Caution hx malignancy</w:t>
            </w:r>
          </w:p>
          <w:p w14:paraId="119662E7" w14:textId="77777777" w:rsidR="00FB0308" w:rsidRPr="00BB0D06" w:rsidRDefault="00FB0308" w:rsidP="00FB0308">
            <w:pPr>
              <w:widowControl w:val="0"/>
              <w:rPr>
                <w:sz w:val="22"/>
                <w:szCs w:val="22"/>
              </w:rPr>
            </w:pPr>
            <w:r w:rsidRPr="00BB0D06">
              <w:rPr>
                <w:sz w:val="22"/>
                <w:szCs w:val="22"/>
              </w:rPr>
              <w:t>Latex allergy - avoid pre-filled syringe</w:t>
            </w:r>
          </w:p>
          <w:p w14:paraId="515CE15A" w14:textId="77777777" w:rsidR="00FB0308" w:rsidRPr="00884993" w:rsidRDefault="00FB0308" w:rsidP="00FB0308">
            <w:pPr>
              <w:rPr>
                <w:sz w:val="22"/>
                <w:szCs w:val="22"/>
              </w:rPr>
            </w:pPr>
            <w:r w:rsidRPr="00BB0D06">
              <w:rPr>
                <w:sz w:val="22"/>
                <w:szCs w:val="22"/>
              </w:rPr>
              <w:t>Ri</w:t>
            </w:r>
            <w:r>
              <w:rPr>
                <w:sz w:val="22"/>
                <w:szCs w:val="22"/>
              </w:rPr>
              <w:t>sk of hypersensitivity reaction</w:t>
            </w:r>
          </w:p>
        </w:tc>
      </w:tr>
      <w:tr w:rsidR="00FB0308" w:rsidRPr="00884993" w14:paraId="19A571F0" w14:textId="77777777" w:rsidTr="00FB0308">
        <w:trPr>
          <w:trHeight w:val="716"/>
        </w:trPr>
        <w:tc>
          <w:tcPr>
            <w:tcW w:w="3745" w:type="dxa"/>
            <w:shd w:val="clear" w:color="auto" w:fill="CCFFFF"/>
          </w:tcPr>
          <w:p w14:paraId="321282D4" w14:textId="77777777" w:rsidR="00FB0308" w:rsidRPr="00884993" w:rsidRDefault="00FB0308" w:rsidP="00FB0308">
            <w:pPr>
              <w:rPr>
                <w:sz w:val="22"/>
                <w:szCs w:val="22"/>
              </w:rPr>
            </w:pPr>
            <w:r w:rsidRPr="00884993">
              <w:rPr>
                <w:sz w:val="22"/>
                <w:szCs w:val="22"/>
              </w:rPr>
              <w:t>Pregnancy &amp; Breastfeeding:</w:t>
            </w:r>
          </w:p>
        </w:tc>
        <w:tc>
          <w:tcPr>
            <w:tcW w:w="5271" w:type="dxa"/>
            <w:shd w:val="clear" w:color="auto" w:fill="auto"/>
          </w:tcPr>
          <w:p w14:paraId="0B31C17B" w14:textId="77777777" w:rsidR="00FB0308" w:rsidRPr="00BB0D06" w:rsidRDefault="00FB0308" w:rsidP="00FB0308">
            <w:pPr>
              <w:widowControl w:val="0"/>
              <w:rPr>
                <w:sz w:val="22"/>
                <w:szCs w:val="22"/>
                <w:highlight w:val="white"/>
              </w:rPr>
            </w:pPr>
            <w:r>
              <w:rPr>
                <w:sz w:val="22"/>
                <w:szCs w:val="22"/>
                <w:highlight w:val="white"/>
              </w:rPr>
              <w:t>No data but manufacturer advises w</w:t>
            </w:r>
            <w:r w:rsidRPr="00BB0D06">
              <w:rPr>
                <w:sz w:val="22"/>
                <w:szCs w:val="22"/>
                <w:highlight w:val="white"/>
              </w:rPr>
              <w:t xml:space="preserve">omen of childbearing potential - contraception during and for at least 15 wks after treatment. </w:t>
            </w:r>
          </w:p>
          <w:p w14:paraId="0ED84395" w14:textId="77777777" w:rsidR="00FB0308" w:rsidRPr="00BB0D06" w:rsidRDefault="00FB0308" w:rsidP="00FB0308">
            <w:pPr>
              <w:widowControl w:val="0"/>
              <w:rPr>
                <w:sz w:val="22"/>
                <w:szCs w:val="22"/>
              </w:rPr>
            </w:pPr>
            <w:r w:rsidRPr="00BB0D06">
              <w:rPr>
                <w:sz w:val="22"/>
                <w:szCs w:val="22"/>
                <w:highlight w:val="white"/>
              </w:rPr>
              <w:t>Breastfeeding - not recommended</w:t>
            </w:r>
          </w:p>
        </w:tc>
      </w:tr>
      <w:tr w:rsidR="00FB0308" w:rsidRPr="00884993" w14:paraId="18FB0105" w14:textId="77777777" w:rsidTr="00FB0308">
        <w:trPr>
          <w:trHeight w:val="311"/>
        </w:trPr>
        <w:tc>
          <w:tcPr>
            <w:tcW w:w="3745" w:type="dxa"/>
            <w:shd w:val="clear" w:color="auto" w:fill="CCFFFF"/>
          </w:tcPr>
          <w:p w14:paraId="7B10D09C" w14:textId="77777777" w:rsidR="00FB0308" w:rsidRPr="00884993" w:rsidRDefault="00FB0308" w:rsidP="00FB0308">
            <w:pPr>
              <w:rPr>
                <w:sz w:val="22"/>
                <w:szCs w:val="22"/>
              </w:rPr>
            </w:pPr>
            <w:r w:rsidRPr="00884993">
              <w:rPr>
                <w:sz w:val="22"/>
                <w:szCs w:val="22"/>
              </w:rPr>
              <w:t>Assessment of Response:</w:t>
            </w:r>
          </w:p>
        </w:tc>
        <w:tc>
          <w:tcPr>
            <w:tcW w:w="5271" w:type="dxa"/>
            <w:shd w:val="clear" w:color="auto" w:fill="auto"/>
          </w:tcPr>
          <w:p w14:paraId="4F1FFB5D" w14:textId="77777777" w:rsidR="00FB0308" w:rsidRPr="00884993" w:rsidRDefault="00FB0308" w:rsidP="00FB0308">
            <w:pPr>
              <w:rPr>
                <w:sz w:val="22"/>
                <w:szCs w:val="22"/>
              </w:rPr>
            </w:pPr>
            <w:r w:rsidRPr="00BB0D06">
              <w:rPr>
                <w:sz w:val="22"/>
                <w:szCs w:val="22"/>
              </w:rPr>
              <w:t>PsA-  PsARC 24 wk, 2 out of 4 incl joint tenderness or swelling</w:t>
            </w:r>
            <w:r>
              <w:rPr>
                <w:sz w:val="22"/>
                <w:szCs w:val="22"/>
              </w:rPr>
              <w:t>, plus no worsening of criteria</w:t>
            </w:r>
          </w:p>
        </w:tc>
      </w:tr>
      <w:tr w:rsidR="00FB0308" w:rsidRPr="00884993" w14:paraId="5666F033" w14:textId="77777777" w:rsidTr="00FB0308">
        <w:trPr>
          <w:trHeight w:val="1771"/>
        </w:trPr>
        <w:tc>
          <w:tcPr>
            <w:tcW w:w="3745" w:type="dxa"/>
            <w:shd w:val="clear" w:color="auto" w:fill="CCFFFF"/>
          </w:tcPr>
          <w:p w14:paraId="7062D54F" w14:textId="77777777" w:rsidR="00FB0308" w:rsidRPr="00884993" w:rsidRDefault="00FB0308" w:rsidP="00FB0308">
            <w:pPr>
              <w:rPr>
                <w:sz w:val="22"/>
                <w:szCs w:val="22"/>
              </w:rPr>
            </w:pPr>
            <w:r w:rsidRPr="00884993">
              <w:rPr>
                <w:sz w:val="22"/>
                <w:szCs w:val="22"/>
              </w:rPr>
              <w:t>Baseline Tests:</w:t>
            </w:r>
          </w:p>
        </w:tc>
        <w:tc>
          <w:tcPr>
            <w:tcW w:w="5271" w:type="dxa"/>
            <w:shd w:val="clear" w:color="auto" w:fill="auto"/>
          </w:tcPr>
          <w:p w14:paraId="1A9E3641" w14:textId="77777777" w:rsidR="00FB0308" w:rsidRPr="00BB0D06" w:rsidRDefault="00FB0308" w:rsidP="00FB0308">
            <w:pPr>
              <w:widowControl w:val="0"/>
              <w:rPr>
                <w:sz w:val="22"/>
                <w:szCs w:val="22"/>
              </w:rPr>
            </w:pPr>
            <w:r w:rsidRPr="00BB0D06">
              <w:rPr>
                <w:sz w:val="22"/>
                <w:szCs w:val="22"/>
              </w:rPr>
              <w:t xml:space="preserve">FBC </w:t>
            </w:r>
          </w:p>
          <w:p w14:paraId="42942D83" w14:textId="77777777" w:rsidR="00FB0308" w:rsidRPr="00BB0D06" w:rsidRDefault="00FB0308" w:rsidP="00FB0308">
            <w:pPr>
              <w:widowControl w:val="0"/>
              <w:rPr>
                <w:sz w:val="22"/>
                <w:szCs w:val="22"/>
              </w:rPr>
            </w:pPr>
            <w:r w:rsidRPr="00BB0D06">
              <w:rPr>
                <w:sz w:val="22"/>
                <w:szCs w:val="22"/>
              </w:rPr>
              <w:t xml:space="preserve">LFT’s </w:t>
            </w:r>
          </w:p>
          <w:p w14:paraId="49A2C285" w14:textId="77777777" w:rsidR="00FB0308" w:rsidRPr="00BB0D06" w:rsidRDefault="00FB0308" w:rsidP="00FB0308">
            <w:pPr>
              <w:widowControl w:val="0"/>
              <w:rPr>
                <w:sz w:val="22"/>
                <w:szCs w:val="22"/>
              </w:rPr>
            </w:pPr>
            <w:r w:rsidRPr="00BB0D06">
              <w:rPr>
                <w:sz w:val="22"/>
                <w:szCs w:val="22"/>
              </w:rPr>
              <w:t>U&amp;E</w:t>
            </w:r>
          </w:p>
          <w:p w14:paraId="040D508C" w14:textId="77777777" w:rsidR="00FB0308" w:rsidRDefault="00FB0308" w:rsidP="00FB0308">
            <w:pPr>
              <w:widowControl w:val="0"/>
              <w:rPr>
                <w:sz w:val="22"/>
                <w:szCs w:val="22"/>
              </w:rPr>
            </w:pPr>
            <w:r>
              <w:rPr>
                <w:sz w:val="22"/>
                <w:szCs w:val="22"/>
              </w:rPr>
              <w:t xml:space="preserve">Consider </w:t>
            </w:r>
            <w:r w:rsidRPr="00BB0D06">
              <w:rPr>
                <w:sz w:val="22"/>
                <w:szCs w:val="22"/>
              </w:rPr>
              <w:t xml:space="preserve">CXR                        </w:t>
            </w:r>
          </w:p>
          <w:p w14:paraId="0DD7B160" w14:textId="77777777" w:rsidR="00FB0308" w:rsidRPr="00BB0D06" w:rsidRDefault="00FB0308" w:rsidP="00FB0308">
            <w:pPr>
              <w:widowControl w:val="0"/>
              <w:rPr>
                <w:sz w:val="22"/>
                <w:szCs w:val="22"/>
              </w:rPr>
            </w:pPr>
            <w:r>
              <w:rPr>
                <w:sz w:val="22"/>
                <w:szCs w:val="22"/>
              </w:rPr>
              <w:t xml:space="preserve">Consider </w:t>
            </w:r>
            <w:r w:rsidRPr="00BB0D06">
              <w:rPr>
                <w:sz w:val="22"/>
                <w:szCs w:val="22"/>
              </w:rPr>
              <w:t>Hepatitis B and C</w:t>
            </w:r>
            <w:r>
              <w:rPr>
                <w:sz w:val="22"/>
                <w:szCs w:val="22"/>
              </w:rPr>
              <w:t xml:space="preserve">. quantiferon, </w:t>
            </w:r>
            <w:r w:rsidRPr="00BB0D06">
              <w:rPr>
                <w:sz w:val="22"/>
                <w:szCs w:val="22"/>
              </w:rPr>
              <w:t>HIV</w:t>
            </w:r>
            <w:r>
              <w:rPr>
                <w:sz w:val="22"/>
                <w:szCs w:val="22"/>
              </w:rPr>
              <w:t xml:space="preserve"> testing</w:t>
            </w:r>
          </w:p>
          <w:p w14:paraId="26BC714A" w14:textId="77777777" w:rsidR="00FB0308" w:rsidRPr="00BB0D06" w:rsidRDefault="00FB0308" w:rsidP="00FB0308">
            <w:pPr>
              <w:widowControl w:val="0"/>
              <w:rPr>
                <w:sz w:val="22"/>
                <w:szCs w:val="22"/>
              </w:rPr>
            </w:pPr>
            <w:r>
              <w:rPr>
                <w:sz w:val="22"/>
                <w:szCs w:val="22"/>
              </w:rPr>
              <w:t xml:space="preserve">Consider </w:t>
            </w:r>
            <w:r w:rsidRPr="00BB0D06">
              <w:rPr>
                <w:sz w:val="22"/>
                <w:szCs w:val="22"/>
              </w:rPr>
              <w:t>Urinalysis</w:t>
            </w:r>
          </w:p>
          <w:p w14:paraId="2652ED50" w14:textId="77777777" w:rsidR="00FB0308" w:rsidRPr="00884993" w:rsidRDefault="00FB0308" w:rsidP="00FB0308">
            <w:pPr>
              <w:rPr>
                <w:sz w:val="22"/>
                <w:szCs w:val="22"/>
              </w:rPr>
            </w:pPr>
            <w:r w:rsidRPr="00BB0D06">
              <w:rPr>
                <w:sz w:val="22"/>
                <w:szCs w:val="22"/>
              </w:rPr>
              <w:t>*Consider pregnancy test</w:t>
            </w:r>
          </w:p>
        </w:tc>
      </w:tr>
      <w:tr w:rsidR="00FB0308" w:rsidRPr="00884993" w14:paraId="4A70BD7C" w14:textId="77777777" w:rsidTr="00FB0308">
        <w:trPr>
          <w:trHeight w:val="421"/>
        </w:trPr>
        <w:tc>
          <w:tcPr>
            <w:tcW w:w="3745" w:type="dxa"/>
            <w:shd w:val="clear" w:color="auto" w:fill="CCFFFF"/>
          </w:tcPr>
          <w:p w14:paraId="4619C213" w14:textId="77777777" w:rsidR="00FB0308" w:rsidRPr="00884993" w:rsidRDefault="00FB0308" w:rsidP="00FB0308">
            <w:pPr>
              <w:rPr>
                <w:sz w:val="22"/>
                <w:szCs w:val="22"/>
              </w:rPr>
            </w:pPr>
            <w:r w:rsidRPr="00884993">
              <w:rPr>
                <w:sz w:val="22"/>
                <w:szCs w:val="22"/>
              </w:rPr>
              <w:t>Routine Monitoring:</w:t>
            </w:r>
          </w:p>
        </w:tc>
        <w:tc>
          <w:tcPr>
            <w:tcW w:w="5271" w:type="dxa"/>
            <w:shd w:val="clear" w:color="auto" w:fill="auto"/>
          </w:tcPr>
          <w:p w14:paraId="65371BCE" w14:textId="3269250E" w:rsidR="00FB0308" w:rsidRPr="00BB0D06" w:rsidRDefault="00D10903" w:rsidP="00FB0308">
            <w:pPr>
              <w:widowControl w:val="0"/>
              <w:rPr>
                <w:sz w:val="22"/>
                <w:szCs w:val="22"/>
              </w:rPr>
            </w:pPr>
            <w:r>
              <w:rPr>
                <w:sz w:val="22"/>
                <w:szCs w:val="22"/>
              </w:rPr>
              <w:t>FBCs if symptoms of infection</w:t>
            </w:r>
          </w:p>
          <w:p w14:paraId="0E32A3ED" w14:textId="77777777" w:rsidR="00FB0308" w:rsidRPr="00BB0D06" w:rsidRDefault="00FB0308" w:rsidP="00FB0308">
            <w:pPr>
              <w:widowControl w:val="0"/>
              <w:rPr>
                <w:sz w:val="22"/>
                <w:szCs w:val="22"/>
              </w:rPr>
            </w:pPr>
            <w:r w:rsidRPr="00BB0D06">
              <w:rPr>
                <w:sz w:val="22"/>
                <w:szCs w:val="22"/>
              </w:rPr>
              <w:t>&gt; 60 yrs - skin checks for non-melanoma skin cancer</w:t>
            </w:r>
          </w:p>
          <w:p w14:paraId="47C778C3" w14:textId="77777777" w:rsidR="00FB0308" w:rsidRPr="00884993" w:rsidRDefault="00FB0308" w:rsidP="00FB0308">
            <w:pPr>
              <w:rPr>
                <w:sz w:val="22"/>
                <w:szCs w:val="22"/>
              </w:rPr>
            </w:pPr>
            <w:r w:rsidRPr="00BB0D06">
              <w:rPr>
                <w:sz w:val="22"/>
                <w:szCs w:val="22"/>
              </w:rPr>
              <w:t>Monitor for symptoms of erythrodermic psoriasis or exfoliative dermatitis</w:t>
            </w:r>
          </w:p>
        </w:tc>
      </w:tr>
      <w:tr w:rsidR="00FB0308" w:rsidRPr="00884993" w14:paraId="3189599C" w14:textId="77777777" w:rsidTr="00FB0308">
        <w:trPr>
          <w:trHeight w:val="1912"/>
        </w:trPr>
        <w:tc>
          <w:tcPr>
            <w:tcW w:w="3745" w:type="dxa"/>
            <w:shd w:val="clear" w:color="auto" w:fill="CCFFFF"/>
          </w:tcPr>
          <w:p w14:paraId="6222266C" w14:textId="77777777" w:rsidR="00FB0308" w:rsidRPr="00884993" w:rsidRDefault="00FB0308" w:rsidP="00FB0308">
            <w:pPr>
              <w:rPr>
                <w:sz w:val="22"/>
                <w:szCs w:val="22"/>
              </w:rPr>
            </w:pPr>
            <w:r w:rsidRPr="00884993">
              <w:rPr>
                <w:sz w:val="22"/>
                <w:szCs w:val="22"/>
              </w:rPr>
              <w:t xml:space="preserve">Indications for Stopping Therapy: </w:t>
            </w:r>
          </w:p>
        </w:tc>
        <w:tc>
          <w:tcPr>
            <w:tcW w:w="5271" w:type="dxa"/>
            <w:shd w:val="clear" w:color="auto" w:fill="auto"/>
          </w:tcPr>
          <w:p w14:paraId="5328D80C" w14:textId="77777777" w:rsidR="00FB0308" w:rsidRPr="006E04A0" w:rsidRDefault="00FB0308" w:rsidP="00FB0308">
            <w:pPr>
              <w:widowControl w:val="0"/>
              <w:rPr>
                <w:sz w:val="22"/>
                <w:szCs w:val="22"/>
              </w:rPr>
            </w:pPr>
            <w:r w:rsidRPr="006E04A0">
              <w:rPr>
                <w:sz w:val="22"/>
                <w:szCs w:val="22"/>
              </w:rPr>
              <w:t>Active infection</w:t>
            </w:r>
          </w:p>
          <w:p w14:paraId="60F523E4" w14:textId="77777777" w:rsidR="00FB0308" w:rsidRPr="006E04A0" w:rsidRDefault="00FB0308" w:rsidP="00FB0308">
            <w:pPr>
              <w:widowControl w:val="0"/>
              <w:rPr>
                <w:sz w:val="22"/>
                <w:szCs w:val="22"/>
              </w:rPr>
            </w:pPr>
            <w:r w:rsidRPr="006E04A0">
              <w:rPr>
                <w:sz w:val="22"/>
                <w:szCs w:val="22"/>
              </w:rPr>
              <w:t>Symptoms of erythrodermic psoriasis or exfoliative dermatitis</w:t>
            </w:r>
          </w:p>
          <w:p w14:paraId="376ED25F" w14:textId="77777777" w:rsidR="00FB0308" w:rsidRPr="00884993" w:rsidRDefault="00FB0308" w:rsidP="00FB0308">
            <w:pPr>
              <w:rPr>
                <w:sz w:val="22"/>
                <w:szCs w:val="22"/>
              </w:rPr>
            </w:pPr>
            <w:r w:rsidRPr="006E04A0">
              <w:rPr>
                <w:sz w:val="22"/>
                <w:szCs w:val="22"/>
              </w:rPr>
              <w:t>Symptoms suggestive of hypersensitivity - injection site rash, rash, urticaria and/or dyspnoea</w:t>
            </w:r>
          </w:p>
        </w:tc>
      </w:tr>
      <w:tr w:rsidR="00FB0308" w:rsidRPr="00884993" w14:paraId="2AF756D6" w14:textId="77777777" w:rsidTr="00FB0308">
        <w:trPr>
          <w:trHeight w:val="934"/>
        </w:trPr>
        <w:tc>
          <w:tcPr>
            <w:tcW w:w="9016" w:type="dxa"/>
            <w:gridSpan w:val="2"/>
            <w:shd w:val="clear" w:color="auto" w:fill="auto"/>
          </w:tcPr>
          <w:p w14:paraId="7D3F7A01" w14:textId="77777777" w:rsidR="00FB0308" w:rsidRPr="00884993" w:rsidRDefault="00FB0308" w:rsidP="00FB0308">
            <w:pPr>
              <w:rPr>
                <w:sz w:val="22"/>
                <w:szCs w:val="22"/>
              </w:rPr>
            </w:pPr>
            <w:r w:rsidRPr="00884993">
              <w:rPr>
                <w:sz w:val="22"/>
                <w:szCs w:val="22"/>
              </w:rPr>
              <w:t>Please refer to licensed datasheet for more comprehensive prescribing information:</w:t>
            </w:r>
          </w:p>
          <w:p w14:paraId="07386B62" w14:textId="77777777" w:rsidR="00FB0308" w:rsidRPr="00884993" w:rsidRDefault="00FB0308" w:rsidP="00FB0308">
            <w:pPr>
              <w:rPr>
                <w:sz w:val="22"/>
                <w:szCs w:val="22"/>
              </w:rPr>
            </w:pPr>
            <w:r w:rsidRPr="006E04A0">
              <w:rPr>
                <w:rStyle w:val="Hyperlink"/>
                <w:sz w:val="22"/>
                <w:szCs w:val="22"/>
              </w:rPr>
              <w:t xml:space="preserve">https://www.medicines.org.uk/emc/product/4412/smpc </w:t>
            </w:r>
          </w:p>
          <w:p w14:paraId="1A7C3B30" w14:textId="77777777" w:rsidR="00FB0308" w:rsidRPr="00884993" w:rsidRDefault="00FB0308" w:rsidP="00FB0308">
            <w:pPr>
              <w:rPr>
                <w:sz w:val="22"/>
                <w:szCs w:val="22"/>
              </w:rPr>
            </w:pPr>
          </w:p>
        </w:tc>
      </w:tr>
    </w:tbl>
    <w:p w14:paraId="6DCB24A2" w14:textId="77777777" w:rsidR="00FB0308" w:rsidRPr="00534535" w:rsidRDefault="00FB0308" w:rsidP="00FB0308">
      <w:pPr>
        <w:pStyle w:val="Heading2"/>
      </w:pPr>
      <w:bookmarkStart w:id="34" w:name="_Toc531873946"/>
      <w:r w:rsidRPr="00626101">
        <w:t>Ustekinumab (Stelara</w:t>
      </w:r>
      <w:r w:rsidRPr="00626101">
        <w:rPr>
          <w:rFonts w:ascii="MS Gothic" w:eastAsia="MS Gothic" w:hAnsi="MS Gothic" w:cs="MS Gothic" w:hint="eastAsia"/>
        </w:rPr>
        <w:t>Ⓡ</w:t>
      </w:r>
      <w:r w:rsidRPr="00626101">
        <w:t>)</w:t>
      </w:r>
      <w:bookmarkEnd w:id="34"/>
    </w:p>
    <w:p w14:paraId="25495357" w14:textId="77777777" w:rsidR="00FB0308" w:rsidRDefault="00FB0308" w:rsidP="00FB0308"/>
    <w:p w14:paraId="47C53E9A" w14:textId="77E7DBE3" w:rsidR="00094335" w:rsidRDefault="00094335" w:rsidP="00094335">
      <w:pPr>
        <w:overflowPunct/>
        <w:autoSpaceDE/>
        <w:autoSpaceDN/>
        <w:adjustRightInd/>
        <w:spacing w:after="160" w:line="259" w:lineRule="auto"/>
        <w:textAlignment w:val="auto"/>
      </w:pPr>
    </w:p>
    <w:p w14:paraId="14EB7F71" w14:textId="296E4222" w:rsidR="00AD75BF" w:rsidRDefault="00AD75BF" w:rsidP="00094335">
      <w:pPr>
        <w:overflowPunct/>
        <w:autoSpaceDE/>
        <w:autoSpaceDN/>
        <w:adjustRightInd/>
        <w:spacing w:after="160" w:line="259" w:lineRule="auto"/>
        <w:textAlignment w:val="auto"/>
      </w:pPr>
    </w:p>
    <w:p w14:paraId="07123415" w14:textId="77777777" w:rsidR="00FB0308" w:rsidRDefault="00FB0308" w:rsidP="00094335">
      <w:pPr>
        <w:overflowPunct/>
        <w:autoSpaceDE/>
        <w:autoSpaceDN/>
        <w:adjustRightInd/>
        <w:spacing w:after="160" w:line="259" w:lineRule="auto"/>
        <w:textAlignment w:val="auto"/>
      </w:pPr>
    </w:p>
    <w:p w14:paraId="6064B65C" w14:textId="77777777" w:rsidR="00FB0308" w:rsidRDefault="00FB0308" w:rsidP="00094335">
      <w:pPr>
        <w:overflowPunct/>
        <w:autoSpaceDE/>
        <w:autoSpaceDN/>
        <w:adjustRightInd/>
        <w:spacing w:after="160" w:line="259" w:lineRule="auto"/>
        <w:textAlignment w:val="auto"/>
      </w:pPr>
    </w:p>
    <w:p w14:paraId="05EBDAE3" w14:textId="77777777" w:rsidR="00AD75BF" w:rsidRDefault="00AD75BF" w:rsidP="00094335">
      <w:pPr>
        <w:overflowPunct/>
        <w:autoSpaceDE/>
        <w:autoSpaceDN/>
        <w:adjustRightInd/>
        <w:spacing w:after="160" w:line="259" w:lineRule="auto"/>
        <w:textAlignment w:val="auto"/>
      </w:pPr>
    </w:p>
    <w:p w14:paraId="07A0A12D" w14:textId="62397061" w:rsidR="00883346" w:rsidRDefault="00883346" w:rsidP="00883346">
      <w:pPr>
        <w:pStyle w:val="Heading1"/>
        <w:rPr>
          <w:rFonts w:eastAsia="Arial Unicode MS"/>
        </w:rPr>
      </w:pPr>
      <w:bookmarkStart w:id="35" w:name="_Toc531873947"/>
      <w:r>
        <w:rPr>
          <w:rFonts w:eastAsia="Arial Unicode MS"/>
        </w:rPr>
        <w:lastRenderedPageBreak/>
        <w:t>Targeted Synthetic DMARDS</w:t>
      </w:r>
      <w:r w:rsidR="008640F8">
        <w:rPr>
          <w:rFonts w:eastAsia="Arial Unicode MS"/>
        </w:rPr>
        <w:t xml:space="preserve"> (t</w:t>
      </w:r>
      <w:r w:rsidR="008A4BD0">
        <w:rPr>
          <w:rFonts w:eastAsia="Arial Unicode MS"/>
        </w:rPr>
        <w:t>sDMARDS)</w:t>
      </w:r>
      <w:bookmarkEnd w:id="35"/>
    </w:p>
    <w:p w14:paraId="6D42CA7E" w14:textId="47B75BEE" w:rsidR="00883346" w:rsidRDefault="00CF234C" w:rsidP="00883346">
      <w:pPr>
        <w:pStyle w:val="Heading2"/>
        <w:rPr>
          <w:rFonts w:eastAsia="Arial Unicode MS"/>
        </w:rPr>
      </w:pPr>
      <w:bookmarkStart w:id="36" w:name="_Toc531873948"/>
      <w:r>
        <w:rPr>
          <w:rFonts w:eastAsia="Arial Unicode MS"/>
        </w:rPr>
        <w:t>Apremilast (Otezla</w:t>
      </w:r>
      <w:r>
        <w:rPr>
          <w:rFonts w:ascii="MS Gothic" w:eastAsia="MS Gothic" w:hAnsi="MS Gothic" w:cs="MS Gothic" w:hint="eastAsia"/>
        </w:rPr>
        <w:t>Ⓡ</w:t>
      </w:r>
      <w:r>
        <w:rPr>
          <w:rFonts w:eastAsia="Arial Unicode MS"/>
        </w:rPr>
        <w:t xml:space="preserve"> )</w:t>
      </w:r>
      <w:bookmarkEnd w:id="36"/>
    </w:p>
    <w:tbl>
      <w:tblPr>
        <w:tblpPr w:leftFromText="180" w:rightFromText="180" w:vertAnchor="page" w:horzAnchor="margin" w:tblpY="262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5271"/>
      </w:tblGrid>
      <w:tr w:rsidR="009A2886" w:rsidRPr="00884993" w14:paraId="0B965BE8" w14:textId="77777777" w:rsidTr="009A2886">
        <w:trPr>
          <w:trHeight w:val="480"/>
        </w:trPr>
        <w:tc>
          <w:tcPr>
            <w:tcW w:w="3745" w:type="dxa"/>
            <w:shd w:val="clear" w:color="auto" w:fill="CCFFFF"/>
          </w:tcPr>
          <w:p w14:paraId="7E8109F0" w14:textId="77777777" w:rsidR="009A2886" w:rsidRPr="00884993" w:rsidRDefault="009A2886" w:rsidP="009A2886">
            <w:pPr>
              <w:rPr>
                <w:sz w:val="22"/>
                <w:szCs w:val="22"/>
              </w:rPr>
            </w:pPr>
            <w:r w:rsidRPr="00884993">
              <w:rPr>
                <w:sz w:val="22"/>
                <w:szCs w:val="22"/>
              </w:rPr>
              <w:t>Therapeutic class:</w:t>
            </w:r>
          </w:p>
        </w:tc>
        <w:tc>
          <w:tcPr>
            <w:tcW w:w="5271" w:type="dxa"/>
            <w:shd w:val="clear" w:color="auto" w:fill="auto"/>
          </w:tcPr>
          <w:p w14:paraId="376728D6" w14:textId="77777777" w:rsidR="009A2886" w:rsidRPr="00884993" w:rsidRDefault="009A2886" w:rsidP="009A2886">
            <w:pPr>
              <w:rPr>
                <w:sz w:val="22"/>
                <w:szCs w:val="22"/>
              </w:rPr>
            </w:pPr>
            <w:r>
              <w:rPr>
                <w:sz w:val="22"/>
                <w:szCs w:val="22"/>
                <w:lang w:eastAsia="en-GB"/>
              </w:rPr>
              <w:t>PDE-4 inhibitor</w:t>
            </w:r>
          </w:p>
        </w:tc>
      </w:tr>
      <w:tr w:rsidR="009A2886" w:rsidRPr="00884993" w14:paraId="4805E570" w14:textId="77777777" w:rsidTr="009A2886">
        <w:trPr>
          <w:trHeight w:val="603"/>
        </w:trPr>
        <w:tc>
          <w:tcPr>
            <w:tcW w:w="3745" w:type="dxa"/>
            <w:shd w:val="clear" w:color="auto" w:fill="CCFFFF"/>
          </w:tcPr>
          <w:p w14:paraId="225095AB" w14:textId="77777777" w:rsidR="009A2886" w:rsidRPr="00884993" w:rsidRDefault="009A2886" w:rsidP="009A2886">
            <w:pPr>
              <w:rPr>
                <w:sz w:val="22"/>
                <w:szCs w:val="22"/>
              </w:rPr>
            </w:pPr>
            <w:r w:rsidRPr="00884993">
              <w:rPr>
                <w:sz w:val="22"/>
                <w:szCs w:val="22"/>
              </w:rPr>
              <w:t>Licensed Dose:</w:t>
            </w:r>
          </w:p>
        </w:tc>
        <w:tc>
          <w:tcPr>
            <w:tcW w:w="5271" w:type="dxa"/>
            <w:shd w:val="clear" w:color="auto" w:fill="auto"/>
          </w:tcPr>
          <w:p w14:paraId="088A986B" w14:textId="77777777" w:rsidR="009A2886" w:rsidRPr="00884993" w:rsidRDefault="009A2886" w:rsidP="009A2886">
            <w:pPr>
              <w:widowControl w:val="0"/>
              <w:rPr>
                <w:sz w:val="22"/>
                <w:szCs w:val="22"/>
              </w:rPr>
            </w:pPr>
            <w:r w:rsidRPr="00BB0D06">
              <w:rPr>
                <w:b/>
                <w:sz w:val="22"/>
                <w:szCs w:val="22"/>
              </w:rPr>
              <w:t xml:space="preserve">PsA </w:t>
            </w:r>
            <w:r w:rsidRPr="00BB0D06">
              <w:rPr>
                <w:sz w:val="22"/>
                <w:szCs w:val="22"/>
              </w:rPr>
              <w:t xml:space="preserve">- Day 1 10mg od, Day 2 10mg bd, Day 3 10mg om + 20mg on, Day 4 20mg bd, Day 5 20mg om + 30mg on then Day 6+ 30mg bd </w:t>
            </w:r>
            <w:r>
              <w:rPr>
                <w:sz w:val="22"/>
                <w:szCs w:val="22"/>
              </w:rPr>
              <w:t>and continue</w:t>
            </w:r>
          </w:p>
        </w:tc>
      </w:tr>
      <w:tr w:rsidR="009A2886" w:rsidRPr="00884993" w14:paraId="663930FC" w14:textId="77777777" w:rsidTr="009A2886">
        <w:trPr>
          <w:trHeight w:val="291"/>
        </w:trPr>
        <w:tc>
          <w:tcPr>
            <w:tcW w:w="3745" w:type="dxa"/>
            <w:shd w:val="clear" w:color="auto" w:fill="CCFFFF"/>
          </w:tcPr>
          <w:p w14:paraId="253FC5BE" w14:textId="77777777" w:rsidR="009A2886" w:rsidRPr="00884993" w:rsidRDefault="009A2886" w:rsidP="009A2886">
            <w:pPr>
              <w:rPr>
                <w:sz w:val="22"/>
                <w:szCs w:val="22"/>
              </w:rPr>
            </w:pPr>
            <w:r w:rsidRPr="00884993">
              <w:rPr>
                <w:sz w:val="22"/>
                <w:szCs w:val="22"/>
              </w:rPr>
              <w:t>NICE Guidance:</w:t>
            </w:r>
          </w:p>
        </w:tc>
        <w:tc>
          <w:tcPr>
            <w:tcW w:w="5271" w:type="dxa"/>
            <w:shd w:val="clear" w:color="auto" w:fill="auto"/>
          </w:tcPr>
          <w:p w14:paraId="1A91CB83" w14:textId="77777777" w:rsidR="009A2886" w:rsidRPr="00586C73" w:rsidRDefault="00323D19" w:rsidP="009A2886">
            <w:pPr>
              <w:rPr>
                <w:sz w:val="22"/>
                <w:szCs w:val="22"/>
              </w:rPr>
            </w:pPr>
            <w:hyperlink r:id="rId109" w:history="1">
              <w:r w:rsidR="009A2886" w:rsidRPr="003178DF">
                <w:rPr>
                  <w:rStyle w:val="Hyperlink"/>
                  <w:kern w:val="24"/>
                  <w:sz w:val="22"/>
                  <w:szCs w:val="22"/>
                  <w:lang w:eastAsia="en-GB"/>
                </w:rPr>
                <w:t>TA433</w:t>
              </w:r>
            </w:hyperlink>
          </w:p>
        </w:tc>
      </w:tr>
      <w:tr w:rsidR="00881714" w:rsidRPr="00884993" w14:paraId="2409B4DF" w14:textId="77777777" w:rsidTr="009A2886">
        <w:trPr>
          <w:trHeight w:val="291"/>
        </w:trPr>
        <w:tc>
          <w:tcPr>
            <w:tcW w:w="3745" w:type="dxa"/>
            <w:shd w:val="clear" w:color="auto" w:fill="CCFFFF"/>
          </w:tcPr>
          <w:p w14:paraId="1BBA89E4" w14:textId="25A2B681" w:rsidR="00881714" w:rsidRPr="00884993" w:rsidRDefault="00881714" w:rsidP="00881714">
            <w:pPr>
              <w:rPr>
                <w:sz w:val="22"/>
                <w:szCs w:val="22"/>
              </w:rPr>
            </w:pPr>
            <w:r w:rsidRPr="00BB0D06">
              <w:rPr>
                <w:sz w:val="22"/>
                <w:szCs w:val="22"/>
              </w:rPr>
              <w:t>Renal Impairment</w:t>
            </w:r>
          </w:p>
        </w:tc>
        <w:tc>
          <w:tcPr>
            <w:tcW w:w="5271" w:type="dxa"/>
            <w:shd w:val="clear" w:color="auto" w:fill="auto"/>
          </w:tcPr>
          <w:p w14:paraId="5E48A5B3" w14:textId="6E4026B6" w:rsidR="00881714" w:rsidRDefault="00881714" w:rsidP="00881714">
            <w:pPr>
              <w:rPr>
                <w:rStyle w:val="Hyperlink"/>
                <w:kern w:val="24"/>
                <w:sz w:val="22"/>
                <w:szCs w:val="22"/>
                <w:lang w:eastAsia="en-GB"/>
              </w:rPr>
            </w:pPr>
            <w:r w:rsidRPr="00BB0D06">
              <w:rPr>
                <w:sz w:val="22"/>
                <w:szCs w:val="22"/>
              </w:rPr>
              <w:t>Dose adjustment only when CrCl &lt; 30ml/min - titrate using morning dose only to max 30mg od</w:t>
            </w:r>
          </w:p>
        </w:tc>
      </w:tr>
      <w:tr w:rsidR="00881714" w:rsidRPr="00884993" w14:paraId="27AD62AB" w14:textId="77777777" w:rsidTr="009A2886">
        <w:trPr>
          <w:trHeight w:val="291"/>
        </w:trPr>
        <w:tc>
          <w:tcPr>
            <w:tcW w:w="3745" w:type="dxa"/>
            <w:shd w:val="clear" w:color="auto" w:fill="CCFFFF"/>
          </w:tcPr>
          <w:p w14:paraId="29B27C3A" w14:textId="2E1A08A2" w:rsidR="00881714" w:rsidRPr="00884993" w:rsidRDefault="00881714" w:rsidP="00881714">
            <w:pPr>
              <w:rPr>
                <w:sz w:val="22"/>
                <w:szCs w:val="22"/>
              </w:rPr>
            </w:pPr>
            <w:r>
              <w:rPr>
                <w:sz w:val="22"/>
                <w:szCs w:val="22"/>
              </w:rPr>
              <w:t>Hepatic impairment/e</w:t>
            </w:r>
            <w:r w:rsidRPr="00BB0D06">
              <w:rPr>
                <w:sz w:val="22"/>
                <w:szCs w:val="22"/>
              </w:rPr>
              <w:t>lderly</w:t>
            </w:r>
          </w:p>
        </w:tc>
        <w:tc>
          <w:tcPr>
            <w:tcW w:w="5271" w:type="dxa"/>
            <w:shd w:val="clear" w:color="auto" w:fill="auto"/>
          </w:tcPr>
          <w:p w14:paraId="3F547F88" w14:textId="37C9F3B6" w:rsidR="00881714" w:rsidRDefault="00881714" w:rsidP="00881714">
            <w:pPr>
              <w:rPr>
                <w:rStyle w:val="Hyperlink"/>
                <w:kern w:val="24"/>
                <w:sz w:val="22"/>
                <w:szCs w:val="22"/>
                <w:lang w:eastAsia="en-GB"/>
              </w:rPr>
            </w:pPr>
            <w:r w:rsidRPr="00BB0D06">
              <w:rPr>
                <w:sz w:val="22"/>
                <w:szCs w:val="22"/>
              </w:rPr>
              <w:t>No dose adjustment required (higher risk GI effects</w:t>
            </w:r>
            <w:r>
              <w:rPr>
                <w:sz w:val="22"/>
                <w:szCs w:val="22"/>
              </w:rPr>
              <w:t xml:space="preserve"> in elderly</w:t>
            </w:r>
            <w:r w:rsidRPr="00BB0D06">
              <w:rPr>
                <w:sz w:val="22"/>
                <w:szCs w:val="22"/>
              </w:rPr>
              <w:t>)</w:t>
            </w:r>
          </w:p>
        </w:tc>
      </w:tr>
      <w:tr w:rsidR="00881714" w:rsidRPr="00884993" w14:paraId="48F2CE1E" w14:textId="77777777" w:rsidTr="009A2886">
        <w:trPr>
          <w:trHeight w:val="716"/>
        </w:trPr>
        <w:tc>
          <w:tcPr>
            <w:tcW w:w="3745" w:type="dxa"/>
            <w:shd w:val="clear" w:color="auto" w:fill="CCFFFF"/>
          </w:tcPr>
          <w:p w14:paraId="3B192FEE" w14:textId="77777777" w:rsidR="00881714" w:rsidRPr="00884993" w:rsidRDefault="00881714" w:rsidP="00881714">
            <w:pPr>
              <w:rPr>
                <w:sz w:val="22"/>
                <w:szCs w:val="22"/>
              </w:rPr>
            </w:pPr>
            <w:r w:rsidRPr="00884993">
              <w:rPr>
                <w:sz w:val="22"/>
                <w:szCs w:val="22"/>
              </w:rPr>
              <w:t>Warnings/Contra-indications/Significant drug interactions:</w:t>
            </w:r>
          </w:p>
          <w:p w14:paraId="50508504" w14:textId="77777777" w:rsidR="00881714" w:rsidRPr="00884993" w:rsidRDefault="00881714" w:rsidP="00881714">
            <w:pPr>
              <w:rPr>
                <w:sz w:val="22"/>
                <w:szCs w:val="22"/>
              </w:rPr>
            </w:pPr>
            <w:r w:rsidRPr="00884993">
              <w:rPr>
                <w:sz w:val="22"/>
                <w:szCs w:val="22"/>
              </w:rPr>
              <w:t>(*Refer to licensed datasheet for special warnings)</w:t>
            </w:r>
          </w:p>
        </w:tc>
        <w:tc>
          <w:tcPr>
            <w:tcW w:w="5271" w:type="dxa"/>
            <w:shd w:val="clear" w:color="auto" w:fill="auto"/>
          </w:tcPr>
          <w:p w14:paraId="3C0BD633" w14:textId="77777777" w:rsidR="00881714" w:rsidRPr="00BB0D06" w:rsidRDefault="00881714" w:rsidP="00881714">
            <w:pPr>
              <w:widowControl w:val="0"/>
              <w:rPr>
                <w:sz w:val="22"/>
                <w:szCs w:val="22"/>
              </w:rPr>
            </w:pPr>
            <w:r w:rsidRPr="00BB0D06">
              <w:rPr>
                <w:sz w:val="22"/>
                <w:szCs w:val="22"/>
              </w:rPr>
              <w:t>GI side effects common in first 2- 4 weeks</w:t>
            </w:r>
          </w:p>
          <w:p w14:paraId="2D254403" w14:textId="77777777" w:rsidR="00881714" w:rsidRPr="00BB0D06" w:rsidRDefault="00881714" w:rsidP="00881714">
            <w:pPr>
              <w:widowControl w:val="0"/>
              <w:rPr>
                <w:sz w:val="22"/>
                <w:szCs w:val="22"/>
              </w:rPr>
            </w:pPr>
            <w:r w:rsidRPr="00BB0D06">
              <w:rPr>
                <w:sz w:val="22"/>
                <w:szCs w:val="22"/>
              </w:rPr>
              <w:t>Use associated with insomnia and depression - caution in patients prior hx, counsel re reporting suicidal ideation/mood change</w:t>
            </w:r>
          </w:p>
          <w:p w14:paraId="09AEE6A2" w14:textId="77777777" w:rsidR="00881714" w:rsidRPr="00BB0D06" w:rsidRDefault="00881714" w:rsidP="00881714">
            <w:pPr>
              <w:widowControl w:val="0"/>
              <w:rPr>
                <w:sz w:val="22"/>
                <w:szCs w:val="22"/>
              </w:rPr>
            </w:pPr>
            <w:r w:rsidRPr="00BB0D06">
              <w:rPr>
                <w:sz w:val="22"/>
                <w:szCs w:val="22"/>
              </w:rPr>
              <w:t>Contains lactose - avoid in</w:t>
            </w:r>
            <w:r w:rsidRPr="00BB0D06">
              <w:rPr>
                <w:sz w:val="22"/>
                <w:szCs w:val="22"/>
                <w:highlight w:val="white"/>
              </w:rPr>
              <w:t xml:space="preserve"> Lapp lactase deficiency or glucose-galactose malabsorption </w:t>
            </w:r>
          </w:p>
          <w:p w14:paraId="15D28987" w14:textId="77777777" w:rsidR="00881714" w:rsidRPr="00884993" w:rsidRDefault="00881714" w:rsidP="00881714">
            <w:pPr>
              <w:rPr>
                <w:sz w:val="22"/>
                <w:szCs w:val="22"/>
              </w:rPr>
            </w:pPr>
          </w:p>
        </w:tc>
      </w:tr>
      <w:tr w:rsidR="00881714" w:rsidRPr="00884993" w14:paraId="30DE0946" w14:textId="77777777" w:rsidTr="009A2886">
        <w:trPr>
          <w:trHeight w:val="716"/>
        </w:trPr>
        <w:tc>
          <w:tcPr>
            <w:tcW w:w="3745" w:type="dxa"/>
            <w:shd w:val="clear" w:color="auto" w:fill="CCFFFF"/>
          </w:tcPr>
          <w:p w14:paraId="25DA3914" w14:textId="77777777" w:rsidR="00881714" w:rsidRPr="00884993" w:rsidRDefault="00881714" w:rsidP="00881714">
            <w:pPr>
              <w:rPr>
                <w:sz w:val="22"/>
                <w:szCs w:val="22"/>
              </w:rPr>
            </w:pPr>
            <w:r w:rsidRPr="00884993">
              <w:rPr>
                <w:sz w:val="22"/>
                <w:szCs w:val="22"/>
              </w:rPr>
              <w:t>Pregnancy &amp; Breastfeeding:</w:t>
            </w:r>
          </w:p>
        </w:tc>
        <w:tc>
          <w:tcPr>
            <w:tcW w:w="5271" w:type="dxa"/>
            <w:shd w:val="clear" w:color="auto" w:fill="auto"/>
          </w:tcPr>
          <w:p w14:paraId="3FCC887C" w14:textId="77777777" w:rsidR="00881714" w:rsidRPr="00BB0D06" w:rsidRDefault="00881714" w:rsidP="00881714">
            <w:pPr>
              <w:widowControl w:val="0"/>
              <w:rPr>
                <w:sz w:val="22"/>
                <w:szCs w:val="22"/>
              </w:rPr>
            </w:pPr>
            <w:r>
              <w:rPr>
                <w:sz w:val="22"/>
                <w:szCs w:val="22"/>
              </w:rPr>
              <w:t>No data but manufacturer recommends w</w:t>
            </w:r>
            <w:r w:rsidRPr="00BB0D06">
              <w:rPr>
                <w:sz w:val="22"/>
                <w:szCs w:val="22"/>
              </w:rPr>
              <w:t>omen of childbearing potential should use an effective method of contraception to prevent pregnancy during treatment</w:t>
            </w:r>
            <w:r>
              <w:rPr>
                <w:sz w:val="22"/>
                <w:szCs w:val="22"/>
              </w:rPr>
              <w:t>.</w:t>
            </w:r>
            <w:r w:rsidRPr="00BB0D06">
              <w:rPr>
                <w:sz w:val="22"/>
                <w:szCs w:val="22"/>
              </w:rPr>
              <w:t xml:space="preserve"> </w:t>
            </w:r>
          </w:p>
          <w:p w14:paraId="249CDD2F" w14:textId="77777777" w:rsidR="00881714" w:rsidRPr="00BB0D06" w:rsidRDefault="00881714" w:rsidP="00881714">
            <w:pPr>
              <w:widowControl w:val="0"/>
              <w:rPr>
                <w:sz w:val="22"/>
                <w:szCs w:val="22"/>
              </w:rPr>
            </w:pPr>
            <w:r w:rsidRPr="00BB0D06">
              <w:rPr>
                <w:sz w:val="22"/>
                <w:szCs w:val="22"/>
              </w:rPr>
              <w:t>Contraindicated in pregnancy and breast-feeding</w:t>
            </w:r>
          </w:p>
        </w:tc>
      </w:tr>
      <w:tr w:rsidR="00881714" w:rsidRPr="00884993" w14:paraId="617BBE04" w14:textId="77777777" w:rsidTr="009A2886">
        <w:trPr>
          <w:trHeight w:val="311"/>
        </w:trPr>
        <w:tc>
          <w:tcPr>
            <w:tcW w:w="3745" w:type="dxa"/>
            <w:shd w:val="clear" w:color="auto" w:fill="CCFFFF"/>
          </w:tcPr>
          <w:p w14:paraId="51169AEB" w14:textId="77777777" w:rsidR="00881714" w:rsidRPr="00884993" w:rsidRDefault="00881714" w:rsidP="00881714">
            <w:pPr>
              <w:rPr>
                <w:sz w:val="22"/>
                <w:szCs w:val="22"/>
              </w:rPr>
            </w:pPr>
            <w:r w:rsidRPr="00884993">
              <w:rPr>
                <w:sz w:val="22"/>
                <w:szCs w:val="22"/>
              </w:rPr>
              <w:t>Assessment of Response:</w:t>
            </w:r>
          </w:p>
        </w:tc>
        <w:tc>
          <w:tcPr>
            <w:tcW w:w="5271" w:type="dxa"/>
            <w:shd w:val="clear" w:color="auto" w:fill="auto"/>
          </w:tcPr>
          <w:p w14:paraId="6B421710" w14:textId="77777777" w:rsidR="00881714" w:rsidRPr="00884993" w:rsidRDefault="00881714" w:rsidP="00881714">
            <w:pPr>
              <w:rPr>
                <w:sz w:val="22"/>
                <w:szCs w:val="22"/>
              </w:rPr>
            </w:pPr>
            <w:r w:rsidRPr="00BB0D06">
              <w:rPr>
                <w:sz w:val="22"/>
                <w:szCs w:val="22"/>
              </w:rPr>
              <w:t>PsA-  PsARC 24 wk, 2 out of 4 incl joint tenderness or swelling</w:t>
            </w:r>
            <w:r>
              <w:rPr>
                <w:sz w:val="22"/>
                <w:szCs w:val="22"/>
              </w:rPr>
              <w:t>, plus no worsening of criteria</w:t>
            </w:r>
          </w:p>
        </w:tc>
      </w:tr>
      <w:tr w:rsidR="00881714" w:rsidRPr="00884993" w14:paraId="6A0AF8D1" w14:textId="77777777" w:rsidTr="009A2886">
        <w:trPr>
          <w:trHeight w:val="953"/>
        </w:trPr>
        <w:tc>
          <w:tcPr>
            <w:tcW w:w="3745" w:type="dxa"/>
            <w:shd w:val="clear" w:color="auto" w:fill="CCFFFF"/>
          </w:tcPr>
          <w:p w14:paraId="63358D5F" w14:textId="77777777" w:rsidR="00881714" w:rsidRPr="00884993" w:rsidRDefault="00881714" w:rsidP="00881714">
            <w:pPr>
              <w:rPr>
                <w:sz w:val="22"/>
                <w:szCs w:val="22"/>
              </w:rPr>
            </w:pPr>
            <w:r w:rsidRPr="00884993">
              <w:rPr>
                <w:sz w:val="22"/>
                <w:szCs w:val="22"/>
              </w:rPr>
              <w:t>Baseline Tests:</w:t>
            </w:r>
          </w:p>
        </w:tc>
        <w:tc>
          <w:tcPr>
            <w:tcW w:w="5271" w:type="dxa"/>
            <w:shd w:val="clear" w:color="auto" w:fill="auto"/>
          </w:tcPr>
          <w:p w14:paraId="187D6143" w14:textId="77777777" w:rsidR="00881714" w:rsidRPr="00BB0D06" w:rsidRDefault="00881714" w:rsidP="00881714">
            <w:pPr>
              <w:widowControl w:val="0"/>
              <w:rPr>
                <w:sz w:val="22"/>
                <w:szCs w:val="22"/>
              </w:rPr>
            </w:pPr>
            <w:r w:rsidRPr="00BB0D06">
              <w:rPr>
                <w:sz w:val="22"/>
                <w:szCs w:val="22"/>
              </w:rPr>
              <w:t>Body weight</w:t>
            </w:r>
          </w:p>
          <w:p w14:paraId="1D090276" w14:textId="77777777" w:rsidR="00881714" w:rsidRPr="00BB0D06" w:rsidRDefault="00881714" w:rsidP="00881714">
            <w:pPr>
              <w:widowControl w:val="0"/>
              <w:rPr>
                <w:sz w:val="22"/>
                <w:szCs w:val="22"/>
              </w:rPr>
            </w:pPr>
            <w:r>
              <w:rPr>
                <w:sz w:val="22"/>
                <w:szCs w:val="22"/>
              </w:rPr>
              <w:t>Consider baseline</w:t>
            </w:r>
            <w:r w:rsidRPr="00BB0D06">
              <w:rPr>
                <w:sz w:val="22"/>
                <w:szCs w:val="22"/>
              </w:rPr>
              <w:t xml:space="preserve"> psychiatric/depression</w:t>
            </w:r>
            <w:r>
              <w:rPr>
                <w:sz w:val="22"/>
                <w:szCs w:val="22"/>
              </w:rPr>
              <w:t xml:space="preserve"> assessment</w:t>
            </w:r>
          </w:p>
          <w:p w14:paraId="7DB02867" w14:textId="77777777" w:rsidR="00881714" w:rsidRPr="00884993" w:rsidRDefault="00881714" w:rsidP="00881714">
            <w:pPr>
              <w:rPr>
                <w:sz w:val="22"/>
                <w:szCs w:val="22"/>
              </w:rPr>
            </w:pPr>
            <w:r w:rsidRPr="00BB0D06">
              <w:rPr>
                <w:sz w:val="22"/>
                <w:szCs w:val="22"/>
              </w:rPr>
              <w:t>*Consider pregnancy test</w:t>
            </w:r>
          </w:p>
        </w:tc>
      </w:tr>
      <w:tr w:rsidR="00881714" w:rsidRPr="00884993" w14:paraId="35A336B0" w14:textId="77777777" w:rsidTr="009A2886">
        <w:trPr>
          <w:trHeight w:val="421"/>
        </w:trPr>
        <w:tc>
          <w:tcPr>
            <w:tcW w:w="3745" w:type="dxa"/>
            <w:shd w:val="clear" w:color="auto" w:fill="CCFFFF"/>
          </w:tcPr>
          <w:p w14:paraId="41F85E71" w14:textId="77777777" w:rsidR="00881714" w:rsidRPr="00884993" w:rsidRDefault="00881714" w:rsidP="00881714">
            <w:pPr>
              <w:rPr>
                <w:sz w:val="22"/>
                <w:szCs w:val="22"/>
              </w:rPr>
            </w:pPr>
            <w:r w:rsidRPr="00884993">
              <w:rPr>
                <w:sz w:val="22"/>
                <w:szCs w:val="22"/>
              </w:rPr>
              <w:t>Routine Monitoring:</w:t>
            </w:r>
          </w:p>
        </w:tc>
        <w:tc>
          <w:tcPr>
            <w:tcW w:w="5271" w:type="dxa"/>
            <w:shd w:val="clear" w:color="auto" w:fill="auto"/>
          </w:tcPr>
          <w:p w14:paraId="704BD9D5" w14:textId="77777777" w:rsidR="00881714" w:rsidRPr="00BB0D06" w:rsidRDefault="00881714" w:rsidP="00881714">
            <w:pPr>
              <w:widowControl w:val="0"/>
              <w:rPr>
                <w:sz w:val="22"/>
                <w:szCs w:val="22"/>
              </w:rPr>
            </w:pPr>
            <w:r w:rsidRPr="00BB0D06">
              <w:rPr>
                <w:sz w:val="22"/>
                <w:szCs w:val="22"/>
              </w:rPr>
              <w:t>Monitor for weight loss - weight check each clinic visit - discontinuation of treatment should be considered in unexplained and clinically significant weight loss</w:t>
            </w:r>
          </w:p>
          <w:p w14:paraId="28F0B6D8" w14:textId="77777777" w:rsidR="00881714" w:rsidRPr="00884993" w:rsidRDefault="00881714" w:rsidP="00881714">
            <w:pPr>
              <w:rPr>
                <w:sz w:val="22"/>
                <w:szCs w:val="22"/>
              </w:rPr>
            </w:pPr>
            <w:r w:rsidRPr="00BB0D06">
              <w:rPr>
                <w:sz w:val="22"/>
                <w:szCs w:val="22"/>
              </w:rPr>
              <w:t>Changes in mood</w:t>
            </w:r>
          </w:p>
        </w:tc>
      </w:tr>
      <w:tr w:rsidR="00881714" w:rsidRPr="00884993" w14:paraId="5914959F" w14:textId="77777777" w:rsidTr="009A2886">
        <w:trPr>
          <w:trHeight w:val="1912"/>
        </w:trPr>
        <w:tc>
          <w:tcPr>
            <w:tcW w:w="3745" w:type="dxa"/>
            <w:shd w:val="clear" w:color="auto" w:fill="CCFFFF"/>
          </w:tcPr>
          <w:p w14:paraId="5175DCF2" w14:textId="77777777" w:rsidR="00881714" w:rsidRPr="00884993" w:rsidRDefault="00881714" w:rsidP="00881714">
            <w:pPr>
              <w:rPr>
                <w:sz w:val="22"/>
                <w:szCs w:val="22"/>
              </w:rPr>
            </w:pPr>
            <w:r w:rsidRPr="00884993">
              <w:rPr>
                <w:sz w:val="22"/>
                <w:szCs w:val="22"/>
              </w:rPr>
              <w:t xml:space="preserve">Indications for Stopping Therapy: </w:t>
            </w:r>
          </w:p>
        </w:tc>
        <w:tc>
          <w:tcPr>
            <w:tcW w:w="5271" w:type="dxa"/>
            <w:shd w:val="clear" w:color="auto" w:fill="auto"/>
          </w:tcPr>
          <w:p w14:paraId="31AA160B" w14:textId="77777777" w:rsidR="00881714" w:rsidRPr="006E04A0" w:rsidRDefault="00881714" w:rsidP="00881714">
            <w:pPr>
              <w:widowControl w:val="0"/>
              <w:rPr>
                <w:sz w:val="22"/>
                <w:szCs w:val="22"/>
              </w:rPr>
            </w:pPr>
            <w:r w:rsidRPr="006E04A0">
              <w:rPr>
                <w:sz w:val="22"/>
                <w:szCs w:val="22"/>
              </w:rPr>
              <w:t>Severe diarrhoea, nausea, or vomiting - discontinue</w:t>
            </w:r>
          </w:p>
          <w:p w14:paraId="651C6D93" w14:textId="77777777" w:rsidR="00881714" w:rsidRPr="006E04A0" w:rsidRDefault="00881714" w:rsidP="00881714">
            <w:pPr>
              <w:widowControl w:val="0"/>
              <w:rPr>
                <w:sz w:val="22"/>
                <w:szCs w:val="22"/>
              </w:rPr>
            </w:pPr>
            <w:r w:rsidRPr="006E04A0">
              <w:rPr>
                <w:sz w:val="22"/>
                <w:szCs w:val="22"/>
              </w:rPr>
              <w:t>Significant weight loss in patients especially if pre-existing low BMI</w:t>
            </w:r>
          </w:p>
          <w:p w14:paraId="0EA4887B" w14:textId="77777777" w:rsidR="00881714" w:rsidRPr="00884993" w:rsidRDefault="00881714" w:rsidP="00881714">
            <w:pPr>
              <w:rPr>
                <w:sz w:val="22"/>
                <w:szCs w:val="22"/>
              </w:rPr>
            </w:pPr>
            <w:r w:rsidRPr="006E04A0">
              <w:rPr>
                <w:sz w:val="22"/>
                <w:szCs w:val="22"/>
              </w:rPr>
              <w:t>Change in mood/suicidal thoughts/insomnia</w:t>
            </w:r>
          </w:p>
        </w:tc>
      </w:tr>
      <w:tr w:rsidR="00881714" w:rsidRPr="00884993" w14:paraId="63EAE56C" w14:textId="77777777" w:rsidTr="009A2886">
        <w:trPr>
          <w:trHeight w:val="934"/>
        </w:trPr>
        <w:tc>
          <w:tcPr>
            <w:tcW w:w="9016" w:type="dxa"/>
            <w:gridSpan w:val="2"/>
            <w:shd w:val="clear" w:color="auto" w:fill="auto"/>
          </w:tcPr>
          <w:p w14:paraId="05BCE4C9" w14:textId="77777777" w:rsidR="00881714" w:rsidRPr="00884993" w:rsidRDefault="00881714" w:rsidP="00881714">
            <w:pPr>
              <w:rPr>
                <w:sz w:val="22"/>
                <w:szCs w:val="22"/>
              </w:rPr>
            </w:pPr>
            <w:r w:rsidRPr="00884993">
              <w:rPr>
                <w:sz w:val="22"/>
                <w:szCs w:val="22"/>
              </w:rPr>
              <w:t>Please refer to licensed datasheet for more comprehensive prescribing information:</w:t>
            </w:r>
          </w:p>
          <w:p w14:paraId="3AA19556" w14:textId="77777777" w:rsidR="00881714" w:rsidRPr="00884993" w:rsidRDefault="00881714" w:rsidP="00881714">
            <w:pPr>
              <w:rPr>
                <w:sz w:val="22"/>
                <w:szCs w:val="22"/>
              </w:rPr>
            </w:pPr>
            <w:r w:rsidRPr="00BB0D06">
              <w:rPr>
                <w:sz w:val="22"/>
                <w:szCs w:val="22"/>
              </w:rPr>
              <w:t>https://www.medicines.org.uk/emc/product/3649</w:t>
            </w:r>
          </w:p>
        </w:tc>
      </w:tr>
    </w:tbl>
    <w:p w14:paraId="1BB0681C" w14:textId="77777777" w:rsidR="00883346" w:rsidRDefault="00883346" w:rsidP="00883346"/>
    <w:p w14:paraId="5996B54A" w14:textId="77777777" w:rsidR="00883346" w:rsidRDefault="00883346" w:rsidP="00883346">
      <w:pPr>
        <w:overflowPunct/>
        <w:autoSpaceDE/>
        <w:autoSpaceDN/>
        <w:adjustRightInd/>
        <w:spacing w:after="160" w:line="259" w:lineRule="auto"/>
        <w:textAlignment w:val="auto"/>
      </w:pPr>
      <w:r>
        <w:br w:type="page"/>
      </w:r>
    </w:p>
    <w:p w14:paraId="38E529CB" w14:textId="02A11628" w:rsidR="002B2FEE" w:rsidRDefault="00CF234C" w:rsidP="00A37EB9">
      <w:pPr>
        <w:pStyle w:val="Heading2"/>
        <w:rPr>
          <w:rFonts w:eastAsia="Arial Unicode MS"/>
        </w:rPr>
      </w:pPr>
      <w:bookmarkStart w:id="37" w:name="_Toc531873949"/>
      <w:r>
        <w:rPr>
          <w:rFonts w:eastAsia="Arial Unicode MS"/>
        </w:rPr>
        <w:lastRenderedPageBreak/>
        <w:t>Baricitinib (Olumiant</w:t>
      </w:r>
      <w:r>
        <w:rPr>
          <w:rFonts w:ascii="MS Gothic" w:eastAsia="MS Gothic" w:hAnsi="MS Gothic" w:cs="MS Gothic" w:hint="eastAsia"/>
        </w:rPr>
        <w:t>Ⓡ</w:t>
      </w:r>
      <w:r>
        <w:rPr>
          <w:rFonts w:eastAsia="Arial Unicode MS"/>
        </w:rPr>
        <w:t>)</w:t>
      </w:r>
      <w:bookmarkEnd w:id="37"/>
    </w:p>
    <w:p w14:paraId="6F73EF69" w14:textId="1625DEDD" w:rsidR="00C02B5B" w:rsidRDefault="00C02B5B" w:rsidP="00A37EB9"/>
    <w:tbl>
      <w:tblPr>
        <w:tblpPr w:leftFromText="180" w:rightFromText="180" w:vertAnchor="page" w:horzAnchor="margin" w:tblpY="210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5271"/>
      </w:tblGrid>
      <w:tr w:rsidR="000011E6" w:rsidRPr="00884993" w14:paraId="49C3EB5E" w14:textId="77777777" w:rsidTr="000011E6">
        <w:trPr>
          <w:trHeight w:val="480"/>
        </w:trPr>
        <w:tc>
          <w:tcPr>
            <w:tcW w:w="3745" w:type="dxa"/>
            <w:shd w:val="clear" w:color="auto" w:fill="CCFFFF"/>
          </w:tcPr>
          <w:p w14:paraId="1C4404B5" w14:textId="77777777" w:rsidR="000011E6" w:rsidRPr="00884993" w:rsidRDefault="000011E6" w:rsidP="000011E6">
            <w:pPr>
              <w:rPr>
                <w:sz w:val="22"/>
                <w:szCs w:val="22"/>
              </w:rPr>
            </w:pPr>
            <w:r w:rsidRPr="00884993">
              <w:rPr>
                <w:sz w:val="22"/>
                <w:szCs w:val="22"/>
              </w:rPr>
              <w:t>Therapeutic class:</w:t>
            </w:r>
          </w:p>
        </w:tc>
        <w:tc>
          <w:tcPr>
            <w:tcW w:w="5271" w:type="dxa"/>
            <w:shd w:val="clear" w:color="auto" w:fill="auto"/>
          </w:tcPr>
          <w:p w14:paraId="78755ED4" w14:textId="77777777" w:rsidR="000011E6" w:rsidRPr="00884993" w:rsidRDefault="000011E6" w:rsidP="000011E6">
            <w:pPr>
              <w:rPr>
                <w:sz w:val="22"/>
                <w:szCs w:val="22"/>
              </w:rPr>
            </w:pPr>
            <w:r>
              <w:rPr>
                <w:sz w:val="22"/>
                <w:szCs w:val="22"/>
                <w:lang w:eastAsia="en-GB"/>
              </w:rPr>
              <w:t>Reversible JAK 1 and JAK 2 inhibitor</w:t>
            </w:r>
          </w:p>
        </w:tc>
      </w:tr>
      <w:tr w:rsidR="000011E6" w:rsidRPr="00884993" w14:paraId="4ACB9DFD" w14:textId="77777777" w:rsidTr="000011E6">
        <w:trPr>
          <w:trHeight w:val="603"/>
        </w:trPr>
        <w:tc>
          <w:tcPr>
            <w:tcW w:w="3745" w:type="dxa"/>
            <w:shd w:val="clear" w:color="auto" w:fill="CCFFFF"/>
          </w:tcPr>
          <w:p w14:paraId="7C2954D4" w14:textId="77777777" w:rsidR="000011E6" w:rsidRPr="00884993" w:rsidRDefault="000011E6" w:rsidP="000011E6">
            <w:pPr>
              <w:rPr>
                <w:sz w:val="22"/>
                <w:szCs w:val="22"/>
              </w:rPr>
            </w:pPr>
            <w:r w:rsidRPr="00884993">
              <w:rPr>
                <w:sz w:val="22"/>
                <w:szCs w:val="22"/>
              </w:rPr>
              <w:t>Licensed Dose:</w:t>
            </w:r>
          </w:p>
        </w:tc>
        <w:tc>
          <w:tcPr>
            <w:tcW w:w="5271" w:type="dxa"/>
            <w:shd w:val="clear" w:color="auto" w:fill="auto"/>
          </w:tcPr>
          <w:p w14:paraId="58A8477E" w14:textId="77777777" w:rsidR="000011E6" w:rsidRPr="00884993" w:rsidRDefault="000011E6" w:rsidP="000011E6">
            <w:pPr>
              <w:widowControl w:val="0"/>
              <w:rPr>
                <w:sz w:val="22"/>
                <w:szCs w:val="22"/>
              </w:rPr>
            </w:pPr>
            <w:r w:rsidRPr="00BB0D06">
              <w:rPr>
                <w:b/>
                <w:sz w:val="22"/>
                <w:szCs w:val="22"/>
              </w:rPr>
              <w:t>Moderate to Severe RA</w:t>
            </w:r>
            <w:r w:rsidRPr="00BB0D06">
              <w:rPr>
                <w:rFonts w:eastAsia="Arial Unicode MS"/>
                <w:sz w:val="22"/>
                <w:szCs w:val="22"/>
              </w:rPr>
              <w:t xml:space="preserve"> - 4mg od with or without mtx (↓2mg od chronic/recurrent infection</w:t>
            </w:r>
            <w:r>
              <w:rPr>
                <w:rFonts w:eastAsia="Arial Unicode MS"/>
                <w:sz w:val="22"/>
                <w:szCs w:val="22"/>
              </w:rPr>
              <w:t>/</w:t>
            </w:r>
            <w:r w:rsidRPr="00BB0D06">
              <w:rPr>
                <w:rFonts w:eastAsia="Arial Unicode MS"/>
                <w:sz w:val="22"/>
                <w:szCs w:val="22"/>
              </w:rPr>
              <w:t>≥ 75 years)</w:t>
            </w:r>
          </w:p>
        </w:tc>
      </w:tr>
      <w:tr w:rsidR="000011E6" w:rsidRPr="00884993" w14:paraId="21BA43EF" w14:textId="77777777" w:rsidTr="000011E6">
        <w:trPr>
          <w:trHeight w:val="291"/>
        </w:trPr>
        <w:tc>
          <w:tcPr>
            <w:tcW w:w="3745" w:type="dxa"/>
            <w:shd w:val="clear" w:color="auto" w:fill="CCFFFF"/>
          </w:tcPr>
          <w:p w14:paraId="0078DE5D" w14:textId="77777777" w:rsidR="000011E6" w:rsidRPr="00884993" w:rsidRDefault="000011E6" w:rsidP="000011E6">
            <w:pPr>
              <w:rPr>
                <w:sz w:val="22"/>
                <w:szCs w:val="22"/>
              </w:rPr>
            </w:pPr>
            <w:r w:rsidRPr="00884993">
              <w:rPr>
                <w:sz w:val="22"/>
                <w:szCs w:val="22"/>
              </w:rPr>
              <w:t>NICE Guidance:</w:t>
            </w:r>
          </w:p>
        </w:tc>
        <w:tc>
          <w:tcPr>
            <w:tcW w:w="5271" w:type="dxa"/>
            <w:shd w:val="clear" w:color="auto" w:fill="auto"/>
          </w:tcPr>
          <w:p w14:paraId="37F73508" w14:textId="77777777" w:rsidR="000011E6" w:rsidRPr="00586C73" w:rsidRDefault="00323D19" w:rsidP="000011E6">
            <w:pPr>
              <w:rPr>
                <w:sz w:val="22"/>
                <w:szCs w:val="22"/>
              </w:rPr>
            </w:pPr>
            <w:hyperlink r:id="rId110" w:history="1">
              <w:r w:rsidR="000011E6" w:rsidRPr="008142F5">
                <w:rPr>
                  <w:rStyle w:val="Hyperlink"/>
                  <w:kern w:val="24"/>
                  <w:sz w:val="22"/>
                  <w:szCs w:val="22"/>
                  <w:lang w:eastAsia="en-GB"/>
                </w:rPr>
                <w:t>TA466</w:t>
              </w:r>
            </w:hyperlink>
          </w:p>
        </w:tc>
      </w:tr>
      <w:tr w:rsidR="00881714" w:rsidRPr="00884993" w14:paraId="33C84CCB" w14:textId="77777777" w:rsidTr="000011E6">
        <w:trPr>
          <w:trHeight w:val="291"/>
        </w:trPr>
        <w:tc>
          <w:tcPr>
            <w:tcW w:w="3745" w:type="dxa"/>
            <w:shd w:val="clear" w:color="auto" w:fill="CCFFFF"/>
          </w:tcPr>
          <w:p w14:paraId="7FD69232" w14:textId="337ED112" w:rsidR="00881714" w:rsidRPr="00884993" w:rsidRDefault="00881714" w:rsidP="00881714">
            <w:pPr>
              <w:rPr>
                <w:sz w:val="22"/>
                <w:szCs w:val="22"/>
              </w:rPr>
            </w:pPr>
            <w:r w:rsidRPr="00BB0D06">
              <w:rPr>
                <w:sz w:val="22"/>
                <w:szCs w:val="22"/>
              </w:rPr>
              <w:t>Renal Impairment</w:t>
            </w:r>
          </w:p>
        </w:tc>
        <w:tc>
          <w:tcPr>
            <w:tcW w:w="5271" w:type="dxa"/>
            <w:shd w:val="clear" w:color="auto" w:fill="auto"/>
          </w:tcPr>
          <w:p w14:paraId="23276599" w14:textId="77777777" w:rsidR="00881714" w:rsidRPr="00BB0D06" w:rsidRDefault="00881714" w:rsidP="00881714">
            <w:pPr>
              <w:widowControl w:val="0"/>
              <w:rPr>
                <w:sz w:val="22"/>
                <w:szCs w:val="22"/>
              </w:rPr>
            </w:pPr>
            <w:r w:rsidRPr="00BB0D06">
              <w:rPr>
                <w:sz w:val="22"/>
                <w:szCs w:val="22"/>
              </w:rPr>
              <w:t xml:space="preserve">CrCl 30-60ml/min 2mg od </w:t>
            </w:r>
          </w:p>
          <w:p w14:paraId="65B38A2A" w14:textId="3971720E" w:rsidR="00881714" w:rsidRDefault="00881714" w:rsidP="00881714">
            <w:pPr>
              <w:rPr>
                <w:rStyle w:val="Hyperlink"/>
                <w:kern w:val="24"/>
                <w:sz w:val="22"/>
                <w:szCs w:val="22"/>
                <w:lang w:eastAsia="en-GB"/>
              </w:rPr>
            </w:pPr>
            <w:r w:rsidRPr="00BB0D06">
              <w:rPr>
                <w:sz w:val="22"/>
                <w:szCs w:val="22"/>
              </w:rPr>
              <w:t xml:space="preserve">CrCl &lt;30ml/min do </w:t>
            </w:r>
            <w:r w:rsidRPr="00BB0D06">
              <w:rPr>
                <w:b/>
                <w:sz w:val="22"/>
                <w:szCs w:val="22"/>
              </w:rPr>
              <w:t>not</w:t>
            </w:r>
            <w:r w:rsidRPr="00BB0D06">
              <w:rPr>
                <w:sz w:val="22"/>
                <w:szCs w:val="22"/>
              </w:rPr>
              <w:t xml:space="preserve"> use</w:t>
            </w:r>
          </w:p>
        </w:tc>
      </w:tr>
      <w:tr w:rsidR="00881714" w:rsidRPr="00884993" w14:paraId="004E5CF5" w14:textId="77777777" w:rsidTr="000011E6">
        <w:trPr>
          <w:trHeight w:val="291"/>
        </w:trPr>
        <w:tc>
          <w:tcPr>
            <w:tcW w:w="3745" w:type="dxa"/>
            <w:shd w:val="clear" w:color="auto" w:fill="CCFFFF"/>
          </w:tcPr>
          <w:p w14:paraId="33ED10AF" w14:textId="503143E6" w:rsidR="00881714" w:rsidRPr="00884993" w:rsidRDefault="00881714" w:rsidP="00881714">
            <w:pPr>
              <w:rPr>
                <w:sz w:val="22"/>
                <w:szCs w:val="22"/>
              </w:rPr>
            </w:pPr>
            <w:r w:rsidRPr="00BB0D06">
              <w:rPr>
                <w:sz w:val="22"/>
                <w:szCs w:val="22"/>
              </w:rPr>
              <w:t>Hepatic Impairment</w:t>
            </w:r>
          </w:p>
        </w:tc>
        <w:tc>
          <w:tcPr>
            <w:tcW w:w="5271" w:type="dxa"/>
            <w:shd w:val="clear" w:color="auto" w:fill="auto"/>
          </w:tcPr>
          <w:p w14:paraId="54265479" w14:textId="77777777" w:rsidR="00881714" w:rsidRPr="00BB0D06" w:rsidRDefault="00881714" w:rsidP="00881714">
            <w:pPr>
              <w:widowControl w:val="0"/>
              <w:rPr>
                <w:rFonts w:eastAsia="Arial Unicode MS"/>
                <w:sz w:val="22"/>
                <w:szCs w:val="22"/>
              </w:rPr>
            </w:pPr>
            <w:r w:rsidRPr="00BB0D06">
              <w:rPr>
                <w:rFonts w:eastAsia="Arial Unicode MS"/>
                <w:sz w:val="22"/>
                <w:szCs w:val="22"/>
              </w:rPr>
              <w:t xml:space="preserve">Mild/mod - no dose ↓ </w:t>
            </w:r>
          </w:p>
          <w:p w14:paraId="28A5EBA8" w14:textId="5D839081" w:rsidR="00881714" w:rsidRDefault="00881714" w:rsidP="00881714">
            <w:pPr>
              <w:rPr>
                <w:rStyle w:val="Hyperlink"/>
                <w:kern w:val="24"/>
                <w:sz w:val="22"/>
                <w:szCs w:val="22"/>
                <w:lang w:eastAsia="en-GB"/>
              </w:rPr>
            </w:pPr>
            <w:r w:rsidRPr="00BB0D06">
              <w:rPr>
                <w:rFonts w:eastAsia="Arial Unicode MS"/>
                <w:sz w:val="22"/>
                <w:szCs w:val="22"/>
              </w:rPr>
              <w:t>Severe - do not use - Child Pugh C)</w:t>
            </w:r>
          </w:p>
        </w:tc>
      </w:tr>
      <w:tr w:rsidR="00881714" w:rsidRPr="00884993" w14:paraId="2BFF25D7" w14:textId="77777777" w:rsidTr="000011E6">
        <w:trPr>
          <w:trHeight w:val="716"/>
        </w:trPr>
        <w:tc>
          <w:tcPr>
            <w:tcW w:w="3745" w:type="dxa"/>
            <w:shd w:val="clear" w:color="auto" w:fill="CCFFFF"/>
          </w:tcPr>
          <w:p w14:paraId="01CCE678" w14:textId="77777777" w:rsidR="00881714" w:rsidRPr="00884993" w:rsidRDefault="00881714" w:rsidP="00881714">
            <w:pPr>
              <w:rPr>
                <w:sz w:val="22"/>
                <w:szCs w:val="22"/>
              </w:rPr>
            </w:pPr>
            <w:r w:rsidRPr="00884993">
              <w:rPr>
                <w:sz w:val="22"/>
                <w:szCs w:val="22"/>
              </w:rPr>
              <w:t>Warnings/Contra-indications/Significant drug interactions:</w:t>
            </w:r>
          </w:p>
          <w:p w14:paraId="2CB23760" w14:textId="77777777" w:rsidR="00881714" w:rsidRPr="00884993" w:rsidRDefault="00881714" w:rsidP="00881714">
            <w:pPr>
              <w:rPr>
                <w:sz w:val="22"/>
                <w:szCs w:val="22"/>
              </w:rPr>
            </w:pPr>
            <w:r w:rsidRPr="00884993">
              <w:rPr>
                <w:sz w:val="22"/>
                <w:szCs w:val="22"/>
              </w:rPr>
              <w:t>(*Refer to licensed datasheet for special warnings)</w:t>
            </w:r>
          </w:p>
        </w:tc>
        <w:tc>
          <w:tcPr>
            <w:tcW w:w="5271" w:type="dxa"/>
            <w:shd w:val="clear" w:color="auto" w:fill="auto"/>
          </w:tcPr>
          <w:p w14:paraId="4C03370B" w14:textId="77777777" w:rsidR="00881714" w:rsidRPr="00BB0D06" w:rsidRDefault="00881714" w:rsidP="00881714">
            <w:pPr>
              <w:widowControl w:val="0"/>
              <w:rPr>
                <w:sz w:val="22"/>
                <w:szCs w:val="22"/>
              </w:rPr>
            </w:pPr>
            <w:r>
              <w:rPr>
                <w:sz w:val="22"/>
                <w:szCs w:val="22"/>
              </w:rPr>
              <w:t>Contraindication absolute lymphocytes count</w:t>
            </w:r>
            <w:r w:rsidRPr="00BB0D06">
              <w:rPr>
                <w:sz w:val="22"/>
                <w:szCs w:val="22"/>
              </w:rPr>
              <w:t xml:space="preserve"> &lt;0.5 x 10</w:t>
            </w:r>
            <w:r w:rsidRPr="00BB0D06">
              <w:rPr>
                <w:sz w:val="22"/>
                <w:szCs w:val="22"/>
                <w:vertAlign w:val="superscript"/>
              </w:rPr>
              <w:t>9</w:t>
            </w:r>
            <w:r w:rsidRPr="00BB0D06">
              <w:rPr>
                <w:sz w:val="22"/>
                <w:szCs w:val="22"/>
              </w:rPr>
              <w:t>cells/L, ANC &lt;1.0 x 10</w:t>
            </w:r>
            <w:r w:rsidRPr="00BB0D06">
              <w:rPr>
                <w:sz w:val="22"/>
                <w:szCs w:val="22"/>
                <w:vertAlign w:val="superscript"/>
              </w:rPr>
              <w:t>9</w:t>
            </w:r>
            <w:r>
              <w:rPr>
                <w:sz w:val="22"/>
                <w:szCs w:val="22"/>
              </w:rPr>
              <w:t>cells/L, Hb &lt;8g/dL</w:t>
            </w:r>
            <w:r w:rsidRPr="00BB0D06">
              <w:rPr>
                <w:sz w:val="22"/>
                <w:szCs w:val="22"/>
              </w:rPr>
              <w:t xml:space="preserve"> Risk DVT/PE - use with caution in high risk individuals (older age, obesity, PMH DE/PVT, surgery and immobile)</w:t>
            </w:r>
          </w:p>
          <w:p w14:paraId="32637152" w14:textId="77777777" w:rsidR="00881714" w:rsidRPr="00884993" w:rsidRDefault="00881714" w:rsidP="00881714">
            <w:pPr>
              <w:rPr>
                <w:sz w:val="22"/>
                <w:szCs w:val="22"/>
              </w:rPr>
            </w:pPr>
            <w:r w:rsidRPr="00BB0D06">
              <w:rPr>
                <w:sz w:val="22"/>
                <w:szCs w:val="22"/>
              </w:rPr>
              <w:t>Risk of herpes virus reactivation</w:t>
            </w:r>
          </w:p>
        </w:tc>
      </w:tr>
      <w:tr w:rsidR="00881714" w:rsidRPr="00884993" w14:paraId="7A6583DF" w14:textId="77777777" w:rsidTr="000011E6">
        <w:trPr>
          <w:trHeight w:val="716"/>
        </w:trPr>
        <w:tc>
          <w:tcPr>
            <w:tcW w:w="3745" w:type="dxa"/>
            <w:shd w:val="clear" w:color="auto" w:fill="CCFFFF"/>
          </w:tcPr>
          <w:p w14:paraId="765B74C8" w14:textId="77777777" w:rsidR="00881714" w:rsidRPr="00884993" w:rsidRDefault="00881714" w:rsidP="00881714">
            <w:pPr>
              <w:rPr>
                <w:sz w:val="22"/>
                <w:szCs w:val="22"/>
              </w:rPr>
            </w:pPr>
            <w:r w:rsidRPr="00884993">
              <w:rPr>
                <w:sz w:val="22"/>
                <w:szCs w:val="22"/>
              </w:rPr>
              <w:t>Pregnancy &amp; Breastfeeding:</w:t>
            </w:r>
          </w:p>
        </w:tc>
        <w:tc>
          <w:tcPr>
            <w:tcW w:w="5271" w:type="dxa"/>
            <w:shd w:val="clear" w:color="auto" w:fill="auto"/>
          </w:tcPr>
          <w:p w14:paraId="2D9C0808" w14:textId="77777777" w:rsidR="00881714" w:rsidRPr="00BB0D06" w:rsidRDefault="00881714" w:rsidP="00881714">
            <w:pPr>
              <w:widowControl w:val="0"/>
              <w:rPr>
                <w:sz w:val="22"/>
                <w:szCs w:val="22"/>
              </w:rPr>
            </w:pPr>
            <w:r>
              <w:rPr>
                <w:sz w:val="22"/>
                <w:szCs w:val="22"/>
              </w:rPr>
              <w:t>Manufacturer advises w</w:t>
            </w:r>
            <w:r w:rsidRPr="00BB0D06">
              <w:rPr>
                <w:sz w:val="22"/>
                <w:szCs w:val="22"/>
              </w:rPr>
              <w:t xml:space="preserve">omen of child-bearing potential to use contraception during treatment and at least 1 week after stopping. </w:t>
            </w:r>
          </w:p>
          <w:p w14:paraId="55ECD99F" w14:textId="246D810A" w:rsidR="00881714" w:rsidRPr="00BB0D06" w:rsidRDefault="00D10903" w:rsidP="00D10903">
            <w:pPr>
              <w:widowControl w:val="0"/>
              <w:rPr>
                <w:sz w:val="22"/>
                <w:szCs w:val="22"/>
              </w:rPr>
            </w:pPr>
            <w:r>
              <w:rPr>
                <w:sz w:val="22"/>
                <w:szCs w:val="22"/>
              </w:rPr>
              <w:t>Avoid in pregnancy and breast-feeding</w:t>
            </w:r>
          </w:p>
        </w:tc>
      </w:tr>
      <w:tr w:rsidR="00881714" w:rsidRPr="00884993" w14:paraId="1D334BEE" w14:textId="77777777" w:rsidTr="000011E6">
        <w:trPr>
          <w:trHeight w:val="311"/>
        </w:trPr>
        <w:tc>
          <w:tcPr>
            <w:tcW w:w="3745" w:type="dxa"/>
            <w:shd w:val="clear" w:color="auto" w:fill="CCFFFF"/>
          </w:tcPr>
          <w:p w14:paraId="2380FD6C" w14:textId="77777777" w:rsidR="00881714" w:rsidRPr="00884993" w:rsidRDefault="00881714" w:rsidP="00881714">
            <w:pPr>
              <w:rPr>
                <w:sz w:val="22"/>
                <w:szCs w:val="22"/>
              </w:rPr>
            </w:pPr>
            <w:r w:rsidRPr="00884993">
              <w:rPr>
                <w:sz w:val="22"/>
                <w:szCs w:val="22"/>
              </w:rPr>
              <w:t>Assessment of Response:</w:t>
            </w:r>
          </w:p>
        </w:tc>
        <w:tc>
          <w:tcPr>
            <w:tcW w:w="5271" w:type="dxa"/>
            <w:shd w:val="clear" w:color="auto" w:fill="auto"/>
          </w:tcPr>
          <w:p w14:paraId="2686D202" w14:textId="77777777" w:rsidR="00881714" w:rsidRPr="00884993" w:rsidRDefault="00881714" w:rsidP="00881714">
            <w:pPr>
              <w:rPr>
                <w:sz w:val="22"/>
                <w:szCs w:val="22"/>
              </w:rPr>
            </w:pPr>
            <w:r w:rsidRPr="00BB0D06">
              <w:rPr>
                <w:sz w:val="22"/>
                <w:szCs w:val="22"/>
              </w:rPr>
              <w:t>NICE - moderate EULAR response at 6 months</w:t>
            </w:r>
          </w:p>
        </w:tc>
      </w:tr>
      <w:tr w:rsidR="00881714" w:rsidRPr="00884993" w14:paraId="0B801F35" w14:textId="77777777" w:rsidTr="000011E6">
        <w:trPr>
          <w:trHeight w:val="953"/>
        </w:trPr>
        <w:tc>
          <w:tcPr>
            <w:tcW w:w="3745" w:type="dxa"/>
            <w:shd w:val="clear" w:color="auto" w:fill="CCFFFF"/>
          </w:tcPr>
          <w:p w14:paraId="53F49B96" w14:textId="77777777" w:rsidR="00881714" w:rsidRPr="00884993" w:rsidRDefault="00881714" w:rsidP="00881714">
            <w:pPr>
              <w:rPr>
                <w:sz w:val="22"/>
                <w:szCs w:val="22"/>
              </w:rPr>
            </w:pPr>
            <w:r w:rsidRPr="00884993">
              <w:rPr>
                <w:sz w:val="22"/>
                <w:szCs w:val="22"/>
              </w:rPr>
              <w:t>Baseline Tests:</w:t>
            </w:r>
          </w:p>
        </w:tc>
        <w:tc>
          <w:tcPr>
            <w:tcW w:w="5271" w:type="dxa"/>
            <w:shd w:val="clear" w:color="auto" w:fill="auto"/>
          </w:tcPr>
          <w:p w14:paraId="6A01B72F" w14:textId="77777777" w:rsidR="00881714" w:rsidRPr="00BB0D06" w:rsidRDefault="00881714" w:rsidP="00881714">
            <w:pPr>
              <w:widowControl w:val="0"/>
              <w:rPr>
                <w:sz w:val="22"/>
                <w:szCs w:val="22"/>
              </w:rPr>
            </w:pPr>
            <w:r w:rsidRPr="00BB0D06">
              <w:rPr>
                <w:sz w:val="22"/>
                <w:szCs w:val="22"/>
              </w:rPr>
              <w:t xml:space="preserve">FBC </w:t>
            </w:r>
          </w:p>
          <w:p w14:paraId="5EDD8347" w14:textId="77777777" w:rsidR="00881714" w:rsidRPr="00BB0D06" w:rsidRDefault="00881714" w:rsidP="00881714">
            <w:pPr>
              <w:widowControl w:val="0"/>
              <w:rPr>
                <w:sz w:val="22"/>
                <w:szCs w:val="22"/>
              </w:rPr>
            </w:pPr>
            <w:r w:rsidRPr="00BB0D06">
              <w:rPr>
                <w:sz w:val="22"/>
                <w:szCs w:val="22"/>
              </w:rPr>
              <w:t>U&amp;E</w:t>
            </w:r>
          </w:p>
          <w:p w14:paraId="730228A3" w14:textId="77777777" w:rsidR="00881714" w:rsidRPr="00BB0D06" w:rsidRDefault="00881714" w:rsidP="00881714">
            <w:pPr>
              <w:widowControl w:val="0"/>
              <w:rPr>
                <w:sz w:val="22"/>
                <w:szCs w:val="22"/>
              </w:rPr>
            </w:pPr>
            <w:r w:rsidRPr="00BB0D06">
              <w:rPr>
                <w:sz w:val="22"/>
                <w:szCs w:val="22"/>
              </w:rPr>
              <w:t>LFT’s</w:t>
            </w:r>
          </w:p>
          <w:p w14:paraId="34DDD9FF" w14:textId="77777777" w:rsidR="00881714" w:rsidRPr="00BB0D06" w:rsidRDefault="00881714" w:rsidP="00881714">
            <w:pPr>
              <w:widowControl w:val="0"/>
              <w:rPr>
                <w:sz w:val="22"/>
                <w:szCs w:val="22"/>
              </w:rPr>
            </w:pPr>
            <w:r w:rsidRPr="00BB0D06">
              <w:rPr>
                <w:sz w:val="22"/>
                <w:szCs w:val="22"/>
              </w:rPr>
              <w:t>Quantiferon</w:t>
            </w:r>
          </w:p>
          <w:p w14:paraId="3E00CAF4" w14:textId="77777777" w:rsidR="00881714" w:rsidRPr="00BB0D06" w:rsidRDefault="00881714" w:rsidP="00881714">
            <w:pPr>
              <w:widowControl w:val="0"/>
              <w:rPr>
                <w:sz w:val="22"/>
                <w:szCs w:val="22"/>
              </w:rPr>
            </w:pPr>
            <w:r w:rsidRPr="00BB0D06">
              <w:rPr>
                <w:sz w:val="22"/>
                <w:szCs w:val="22"/>
              </w:rPr>
              <w:t>Hepatitis B and C (Patients with active hepatitis B or C infection were excluded from clinical trials. Monitor for expression of Hep B virus DNA – consult hepatologist</w:t>
            </w:r>
            <w:r>
              <w:rPr>
                <w:sz w:val="22"/>
                <w:szCs w:val="22"/>
              </w:rPr>
              <w:t>)/HIV</w:t>
            </w:r>
          </w:p>
          <w:p w14:paraId="3F76B8C6" w14:textId="77777777" w:rsidR="00881714" w:rsidRPr="00BB0D06" w:rsidRDefault="00881714" w:rsidP="00881714">
            <w:pPr>
              <w:widowControl w:val="0"/>
              <w:rPr>
                <w:sz w:val="22"/>
                <w:szCs w:val="22"/>
              </w:rPr>
            </w:pPr>
            <w:r w:rsidRPr="00BB0D06">
              <w:rPr>
                <w:sz w:val="22"/>
                <w:szCs w:val="22"/>
              </w:rPr>
              <w:t>Lipids</w:t>
            </w:r>
          </w:p>
          <w:p w14:paraId="489B5E5E" w14:textId="77777777" w:rsidR="00881714" w:rsidRPr="00884993" w:rsidRDefault="00881714" w:rsidP="00881714">
            <w:pPr>
              <w:rPr>
                <w:sz w:val="22"/>
                <w:szCs w:val="22"/>
              </w:rPr>
            </w:pPr>
            <w:r w:rsidRPr="00BB0D06">
              <w:rPr>
                <w:sz w:val="22"/>
                <w:szCs w:val="22"/>
              </w:rPr>
              <w:t>Consider pregnancy test</w:t>
            </w:r>
          </w:p>
        </w:tc>
      </w:tr>
      <w:tr w:rsidR="00881714" w:rsidRPr="00884993" w14:paraId="322687A3" w14:textId="77777777" w:rsidTr="000011E6">
        <w:trPr>
          <w:trHeight w:val="421"/>
        </w:trPr>
        <w:tc>
          <w:tcPr>
            <w:tcW w:w="3745" w:type="dxa"/>
            <w:shd w:val="clear" w:color="auto" w:fill="CCFFFF"/>
          </w:tcPr>
          <w:p w14:paraId="4D39ECAD" w14:textId="77777777" w:rsidR="00881714" w:rsidRPr="00884993" w:rsidRDefault="00881714" w:rsidP="00881714">
            <w:pPr>
              <w:rPr>
                <w:sz w:val="22"/>
                <w:szCs w:val="22"/>
              </w:rPr>
            </w:pPr>
            <w:r w:rsidRPr="00884993">
              <w:rPr>
                <w:sz w:val="22"/>
                <w:szCs w:val="22"/>
              </w:rPr>
              <w:t>Routine Monitoring:</w:t>
            </w:r>
          </w:p>
        </w:tc>
        <w:tc>
          <w:tcPr>
            <w:tcW w:w="5271" w:type="dxa"/>
            <w:shd w:val="clear" w:color="auto" w:fill="auto"/>
          </w:tcPr>
          <w:p w14:paraId="7A75DA7B" w14:textId="77777777" w:rsidR="00D10903" w:rsidRPr="00950957" w:rsidRDefault="00D10903" w:rsidP="00D10903">
            <w:pPr>
              <w:rPr>
                <w:sz w:val="22"/>
                <w:szCs w:val="22"/>
              </w:rPr>
            </w:pPr>
            <w:r w:rsidRPr="00950957">
              <w:rPr>
                <w:sz w:val="22"/>
                <w:szCs w:val="22"/>
              </w:rPr>
              <w:t xml:space="preserve">FBC, U&amp;Es, LFTs every 2 weeks until on stable dose for 6 weeks </w:t>
            </w:r>
          </w:p>
          <w:p w14:paraId="164B8D7B" w14:textId="77777777" w:rsidR="00D10903" w:rsidRPr="00950957" w:rsidRDefault="00D10903" w:rsidP="00D10903">
            <w:pPr>
              <w:rPr>
                <w:sz w:val="22"/>
                <w:szCs w:val="22"/>
              </w:rPr>
            </w:pPr>
            <w:r w:rsidRPr="00950957">
              <w:rPr>
                <w:sz w:val="22"/>
                <w:szCs w:val="22"/>
              </w:rPr>
              <w:t>Once on stable dose, monthly for 3 months</w:t>
            </w:r>
            <w:r>
              <w:rPr>
                <w:sz w:val="22"/>
                <w:szCs w:val="22"/>
              </w:rPr>
              <w:t xml:space="preserve"> and then every 3 months</w:t>
            </w:r>
            <w:r w:rsidRPr="00950957">
              <w:rPr>
                <w:sz w:val="22"/>
                <w:szCs w:val="22"/>
              </w:rPr>
              <w:t xml:space="preserve">. </w:t>
            </w:r>
          </w:p>
          <w:p w14:paraId="320CDA7C" w14:textId="77777777" w:rsidR="00881714" w:rsidRPr="00884993" w:rsidRDefault="00881714" w:rsidP="00881714">
            <w:pPr>
              <w:rPr>
                <w:sz w:val="22"/>
                <w:szCs w:val="22"/>
              </w:rPr>
            </w:pPr>
            <w:r w:rsidRPr="00BB0D06">
              <w:rPr>
                <w:sz w:val="22"/>
                <w:szCs w:val="22"/>
              </w:rPr>
              <w:t>Check lipids 12 weeks after commencement - treat according to current guidance and monitor accordingly</w:t>
            </w:r>
          </w:p>
        </w:tc>
      </w:tr>
      <w:tr w:rsidR="00881714" w:rsidRPr="00884993" w14:paraId="052A7F4E" w14:textId="77777777" w:rsidTr="000011E6">
        <w:trPr>
          <w:trHeight w:val="1912"/>
        </w:trPr>
        <w:tc>
          <w:tcPr>
            <w:tcW w:w="3745" w:type="dxa"/>
            <w:shd w:val="clear" w:color="auto" w:fill="CCFFFF"/>
          </w:tcPr>
          <w:p w14:paraId="0B2E41B9" w14:textId="77777777" w:rsidR="00881714" w:rsidRPr="00884993" w:rsidRDefault="00881714" w:rsidP="00881714">
            <w:pPr>
              <w:rPr>
                <w:sz w:val="22"/>
                <w:szCs w:val="22"/>
              </w:rPr>
            </w:pPr>
            <w:r w:rsidRPr="00884993">
              <w:rPr>
                <w:sz w:val="22"/>
                <w:szCs w:val="22"/>
              </w:rPr>
              <w:t xml:space="preserve">Indications for Stopping Therapy: </w:t>
            </w:r>
          </w:p>
        </w:tc>
        <w:tc>
          <w:tcPr>
            <w:tcW w:w="5271" w:type="dxa"/>
            <w:shd w:val="clear" w:color="auto" w:fill="auto"/>
          </w:tcPr>
          <w:p w14:paraId="0C624487" w14:textId="77777777" w:rsidR="00D10903" w:rsidRPr="009E30CF" w:rsidRDefault="00D10903" w:rsidP="00D10903">
            <w:pPr>
              <w:widowControl w:val="0"/>
              <w:rPr>
                <w:sz w:val="22"/>
                <w:szCs w:val="22"/>
              </w:rPr>
            </w:pPr>
            <w:r w:rsidRPr="009E30CF">
              <w:rPr>
                <w:sz w:val="22"/>
                <w:szCs w:val="22"/>
              </w:rPr>
              <w:t xml:space="preserve">Hb &lt;8g/dL </w:t>
            </w:r>
          </w:p>
          <w:p w14:paraId="4CBD4551" w14:textId="77777777" w:rsidR="00D10903" w:rsidRDefault="00D10903" w:rsidP="00881714">
            <w:pPr>
              <w:widowControl w:val="0"/>
              <w:rPr>
                <w:sz w:val="22"/>
                <w:szCs w:val="22"/>
              </w:rPr>
            </w:pPr>
            <w:r>
              <w:rPr>
                <w:sz w:val="22"/>
                <w:szCs w:val="22"/>
              </w:rPr>
              <w:t>ALC &lt;0.5 x 10</w:t>
            </w:r>
            <w:r w:rsidRPr="00D10903">
              <w:rPr>
                <w:sz w:val="22"/>
                <w:szCs w:val="22"/>
                <w:vertAlign w:val="superscript"/>
              </w:rPr>
              <w:t>9</w:t>
            </w:r>
            <w:r>
              <w:rPr>
                <w:sz w:val="22"/>
                <w:szCs w:val="22"/>
              </w:rPr>
              <w:t xml:space="preserve"> </w:t>
            </w:r>
            <w:r w:rsidR="00881714" w:rsidRPr="009E30CF">
              <w:rPr>
                <w:sz w:val="22"/>
                <w:szCs w:val="22"/>
              </w:rPr>
              <w:t xml:space="preserve">cells/L ANC &lt;1.0 x </w:t>
            </w:r>
            <w:r>
              <w:rPr>
                <w:sz w:val="22"/>
                <w:szCs w:val="22"/>
              </w:rPr>
              <w:t>10</w:t>
            </w:r>
            <w:r w:rsidRPr="00D10903">
              <w:rPr>
                <w:sz w:val="22"/>
                <w:szCs w:val="22"/>
                <w:vertAlign w:val="superscript"/>
              </w:rPr>
              <w:t>9</w:t>
            </w:r>
            <w:r>
              <w:rPr>
                <w:sz w:val="22"/>
                <w:szCs w:val="22"/>
              </w:rPr>
              <w:t xml:space="preserve"> </w:t>
            </w:r>
            <w:r w:rsidRPr="009E30CF">
              <w:rPr>
                <w:sz w:val="22"/>
                <w:szCs w:val="22"/>
              </w:rPr>
              <w:t xml:space="preserve">cells/L </w:t>
            </w:r>
          </w:p>
          <w:p w14:paraId="664323B3" w14:textId="77777777" w:rsidR="00881714" w:rsidRPr="009E30CF" w:rsidRDefault="00881714" w:rsidP="00881714">
            <w:pPr>
              <w:widowControl w:val="0"/>
              <w:rPr>
                <w:sz w:val="22"/>
                <w:szCs w:val="22"/>
              </w:rPr>
            </w:pPr>
            <w:r w:rsidRPr="009E30CF">
              <w:rPr>
                <w:sz w:val="22"/>
                <w:szCs w:val="22"/>
              </w:rPr>
              <w:t xml:space="preserve">ALT/AST &gt;    x3 ULN         </w:t>
            </w:r>
          </w:p>
          <w:p w14:paraId="38BD79AC" w14:textId="77777777" w:rsidR="00881714" w:rsidRPr="009E30CF" w:rsidRDefault="00881714" w:rsidP="00881714">
            <w:pPr>
              <w:widowControl w:val="0"/>
              <w:rPr>
                <w:sz w:val="22"/>
                <w:szCs w:val="22"/>
              </w:rPr>
            </w:pPr>
            <w:r w:rsidRPr="009E30CF">
              <w:rPr>
                <w:sz w:val="22"/>
                <w:szCs w:val="22"/>
              </w:rPr>
              <w:t xml:space="preserve">CrCl &lt;30ml/min </w:t>
            </w:r>
          </w:p>
          <w:p w14:paraId="57F187AF" w14:textId="77777777" w:rsidR="00881714" w:rsidRPr="009E30CF" w:rsidRDefault="00881714" w:rsidP="00881714">
            <w:pPr>
              <w:widowControl w:val="0"/>
              <w:rPr>
                <w:sz w:val="22"/>
                <w:szCs w:val="22"/>
              </w:rPr>
            </w:pPr>
            <w:r w:rsidRPr="009E30CF">
              <w:rPr>
                <w:sz w:val="22"/>
                <w:szCs w:val="22"/>
              </w:rPr>
              <w:t>Suspected DVT/PE</w:t>
            </w:r>
          </w:p>
          <w:p w14:paraId="67EF3A5C" w14:textId="77777777" w:rsidR="00881714" w:rsidRPr="009E30CF" w:rsidRDefault="00881714" w:rsidP="00881714">
            <w:pPr>
              <w:widowControl w:val="0"/>
              <w:rPr>
                <w:sz w:val="22"/>
                <w:szCs w:val="22"/>
              </w:rPr>
            </w:pPr>
            <w:r w:rsidRPr="009E30CF">
              <w:rPr>
                <w:sz w:val="22"/>
                <w:szCs w:val="22"/>
              </w:rPr>
              <w:t>Herpes Zoster/Simplex infection</w:t>
            </w:r>
          </w:p>
          <w:p w14:paraId="5F9EC9F1" w14:textId="77777777" w:rsidR="00881714" w:rsidRPr="009E30CF" w:rsidRDefault="00881714" w:rsidP="00881714">
            <w:pPr>
              <w:widowControl w:val="0"/>
              <w:rPr>
                <w:sz w:val="22"/>
                <w:szCs w:val="22"/>
              </w:rPr>
            </w:pPr>
            <w:r w:rsidRPr="009E30CF">
              <w:rPr>
                <w:sz w:val="22"/>
                <w:szCs w:val="22"/>
              </w:rPr>
              <w:t>Active infection not responding to standard treatment</w:t>
            </w:r>
          </w:p>
          <w:p w14:paraId="69B5F951" w14:textId="77777777" w:rsidR="00881714" w:rsidRPr="00884993" w:rsidRDefault="00881714" w:rsidP="00881714">
            <w:pPr>
              <w:rPr>
                <w:sz w:val="22"/>
                <w:szCs w:val="22"/>
              </w:rPr>
            </w:pPr>
            <w:r w:rsidRPr="009E30CF">
              <w:rPr>
                <w:sz w:val="22"/>
                <w:szCs w:val="22"/>
              </w:rPr>
              <w:t>Pregnancy</w:t>
            </w:r>
          </w:p>
        </w:tc>
      </w:tr>
      <w:tr w:rsidR="00881714" w:rsidRPr="00884993" w14:paraId="35311A36" w14:textId="77777777" w:rsidTr="000011E6">
        <w:trPr>
          <w:trHeight w:val="934"/>
        </w:trPr>
        <w:tc>
          <w:tcPr>
            <w:tcW w:w="9016" w:type="dxa"/>
            <w:gridSpan w:val="2"/>
            <w:shd w:val="clear" w:color="auto" w:fill="auto"/>
          </w:tcPr>
          <w:p w14:paraId="4A6295DF" w14:textId="77777777" w:rsidR="00881714" w:rsidRPr="00884993" w:rsidRDefault="00881714" w:rsidP="00881714">
            <w:pPr>
              <w:rPr>
                <w:sz w:val="22"/>
                <w:szCs w:val="22"/>
              </w:rPr>
            </w:pPr>
            <w:r w:rsidRPr="00884993">
              <w:rPr>
                <w:sz w:val="22"/>
                <w:szCs w:val="22"/>
              </w:rPr>
              <w:t>Please refer to licensed datasheet for more comprehensive prescribing information:</w:t>
            </w:r>
          </w:p>
          <w:p w14:paraId="431C713D" w14:textId="77777777" w:rsidR="00881714" w:rsidRPr="00884993" w:rsidRDefault="00881714" w:rsidP="00881714">
            <w:pPr>
              <w:rPr>
                <w:sz w:val="22"/>
                <w:szCs w:val="22"/>
              </w:rPr>
            </w:pPr>
            <w:r w:rsidRPr="00BB0D06">
              <w:rPr>
                <w:sz w:val="22"/>
                <w:szCs w:val="22"/>
              </w:rPr>
              <w:t>https://www.medicines.org.uk/emc/product/2434</w:t>
            </w:r>
          </w:p>
        </w:tc>
      </w:tr>
    </w:tbl>
    <w:p w14:paraId="45E3895E" w14:textId="77777777" w:rsidR="000011E6" w:rsidRDefault="000011E6" w:rsidP="00A37EB9">
      <w:pPr>
        <w:sectPr w:rsidR="000011E6" w:rsidSect="008A4BD0">
          <w:type w:val="continuous"/>
          <w:pgSz w:w="11906" w:h="16838"/>
          <w:pgMar w:top="1440" w:right="1440" w:bottom="1440" w:left="1440" w:header="708" w:footer="708" w:gutter="0"/>
          <w:cols w:space="708"/>
          <w:docGrid w:linePitch="360"/>
        </w:sectPr>
      </w:pPr>
    </w:p>
    <w:p w14:paraId="2D10B96F" w14:textId="77777777" w:rsidR="00BB0D06" w:rsidRDefault="00BB0D06">
      <w:pPr>
        <w:overflowPunct/>
        <w:autoSpaceDE/>
        <w:autoSpaceDN/>
        <w:adjustRightInd/>
        <w:spacing w:after="160" w:line="259" w:lineRule="auto"/>
        <w:textAlignment w:val="auto"/>
        <w:rPr>
          <w:rFonts w:eastAsia="Arial Unicode MS" w:cstheme="majorBidi"/>
          <w:b/>
          <w:sz w:val="26"/>
          <w:szCs w:val="26"/>
        </w:rPr>
      </w:pPr>
      <w:r>
        <w:rPr>
          <w:rFonts w:eastAsia="Arial Unicode MS"/>
        </w:rPr>
        <w:br w:type="page"/>
      </w:r>
    </w:p>
    <w:p w14:paraId="128DD516" w14:textId="4071EB79" w:rsidR="00A37EB9" w:rsidRDefault="00CF234C" w:rsidP="00C02B5B">
      <w:pPr>
        <w:pStyle w:val="Heading2"/>
        <w:rPr>
          <w:rFonts w:eastAsia="Arial Unicode MS"/>
        </w:rPr>
      </w:pPr>
      <w:bookmarkStart w:id="38" w:name="_Toc531873950"/>
      <w:r>
        <w:rPr>
          <w:rFonts w:eastAsia="Arial Unicode MS"/>
        </w:rPr>
        <w:lastRenderedPageBreak/>
        <w:t>Tofacitinib Citrate (Xeljanz</w:t>
      </w:r>
      <w:r>
        <w:rPr>
          <w:rFonts w:ascii="MS Gothic" w:eastAsia="MS Gothic" w:hAnsi="MS Gothic" w:cs="MS Gothic" w:hint="eastAsia"/>
        </w:rPr>
        <w:t>Ⓡ</w:t>
      </w:r>
      <w:r>
        <w:rPr>
          <w:rFonts w:eastAsia="Arial Unicode MS"/>
        </w:rPr>
        <w:t>)</w:t>
      </w:r>
      <w:bookmarkEnd w:id="38"/>
    </w:p>
    <w:p w14:paraId="0DF918F5" w14:textId="79C9E620" w:rsidR="00A443F9" w:rsidRDefault="00A443F9" w:rsidP="00C02B5B"/>
    <w:tbl>
      <w:tblPr>
        <w:tblpPr w:leftFromText="180" w:rightFromText="180" w:vertAnchor="page" w:horzAnchor="margin" w:tblpXSpec="center" w:tblpY="206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6031"/>
      </w:tblGrid>
      <w:tr w:rsidR="000011E6" w:rsidRPr="00884993" w14:paraId="0FE0FC19" w14:textId="77777777" w:rsidTr="00881714">
        <w:trPr>
          <w:trHeight w:val="480"/>
        </w:trPr>
        <w:tc>
          <w:tcPr>
            <w:tcW w:w="3745" w:type="dxa"/>
            <w:shd w:val="clear" w:color="auto" w:fill="CCFFFF"/>
          </w:tcPr>
          <w:p w14:paraId="6550DFCC" w14:textId="77777777" w:rsidR="000011E6" w:rsidRPr="00884993" w:rsidRDefault="000011E6" w:rsidP="000011E6">
            <w:pPr>
              <w:rPr>
                <w:sz w:val="22"/>
                <w:szCs w:val="22"/>
              </w:rPr>
            </w:pPr>
            <w:r w:rsidRPr="00884993">
              <w:rPr>
                <w:sz w:val="22"/>
                <w:szCs w:val="22"/>
              </w:rPr>
              <w:t>Therapeutic class:</w:t>
            </w:r>
          </w:p>
        </w:tc>
        <w:tc>
          <w:tcPr>
            <w:tcW w:w="6031" w:type="dxa"/>
            <w:shd w:val="clear" w:color="auto" w:fill="auto"/>
          </w:tcPr>
          <w:p w14:paraId="6AA67B9C" w14:textId="77777777" w:rsidR="000011E6" w:rsidRPr="00884993" w:rsidRDefault="000011E6" w:rsidP="000011E6">
            <w:pPr>
              <w:rPr>
                <w:sz w:val="22"/>
                <w:szCs w:val="22"/>
              </w:rPr>
            </w:pPr>
            <w:r>
              <w:rPr>
                <w:sz w:val="22"/>
                <w:szCs w:val="22"/>
              </w:rPr>
              <w:t>JAK inhibitor</w:t>
            </w:r>
          </w:p>
        </w:tc>
      </w:tr>
      <w:tr w:rsidR="000011E6" w:rsidRPr="00884993" w14:paraId="3A974B29" w14:textId="77777777" w:rsidTr="00881714">
        <w:trPr>
          <w:trHeight w:val="603"/>
        </w:trPr>
        <w:tc>
          <w:tcPr>
            <w:tcW w:w="3745" w:type="dxa"/>
            <w:shd w:val="clear" w:color="auto" w:fill="CCFFFF"/>
          </w:tcPr>
          <w:p w14:paraId="4533F830" w14:textId="77777777" w:rsidR="000011E6" w:rsidRPr="00884993" w:rsidRDefault="000011E6" w:rsidP="000011E6">
            <w:pPr>
              <w:rPr>
                <w:sz w:val="22"/>
                <w:szCs w:val="22"/>
              </w:rPr>
            </w:pPr>
            <w:r w:rsidRPr="00884993">
              <w:rPr>
                <w:sz w:val="22"/>
                <w:szCs w:val="22"/>
              </w:rPr>
              <w:t>Licensed Dose:</w:t>
            </w:r>
          </w:p>
        </w:tc>
        <w:tc>
          <w:tcPr>
            <w:tcW w:w="6031" w:type="dxa"/>
            <w:shd w:val="clear" w:color="auto" w:fill="auto"/>
          </w:tcPr>
          <w:p w14:paraId="75C5309C" w14:textId="77777777" w:rsidR="000011E6" w:rsidRDefault="000011E6" w:rsidP="000011E6">
            <w:pPr>
              <w:widowControl w:val="0"/>
              <w:rPr>
                <w:sz w:val="22"/>
                <w:szCs w:val="22"/>
              </w:rPr>
            </w:pPr>
            <w:r w:rsidRPr="00BB0D06">
              <w:rPr>
                <w:b/>
                <w:sz w:val="22"/>
                <w:szCs w:val="22"/>
              </w:rPr>
              <w:t>Moderate to severe RA</w:t>
            </w:r>
            <w:r w:rsidRPr="00BB0D06">
              <w:rPr>
                <w:sz w:val="22"/>
                <w:szCs w:val="22"/>
              </w:rPr>
              <w:t xml:space="preserve"> - 5mg bd with or without </w:t>
            </w:r>
            <w:r>
              <w:rPr>
                <w:sz w:val="22"/>
                <w:szCs w:val="22"/>
              </w:rPr>
              <w:t>MTX</w:t>
            </w:r>
          </w:p>
          <w:p w14:paraId="28E6D572" w14:textId="77777777" w:rsidR="000011E6" w:rsidRPr="00884993" w:rsidRDefault="000011E6" w:rsidP="000011E6">
            <w:pPr>
              <w:widowControl w:val="0"/>
              <w:rPr>
                <w:sz w:val="22"/>
                <w:szCs w:val="22"/>
              </w:rPr>
            </w:pPr>
            <w:r>
              <w:rPr>
                <w:sz w:val="22"/>
                <w:szCs w:val="22"/>
              </w:rPr>
              <w:t>PsA – 5mg BD</w:t>
            </w:r>
          </w:p>
        </w:tc>
      </w:tr>
      <w:tr w:rsidR="000011E6" w:rsidRPr="00884993" w14:paraId="550DC5AC" w14:textId="77777777" w:rsidTr="00881714">
        <w:trPr>
          <w:trHeight w:val="291"/>
        </w:trPr>
        <w:tc>
          <w:tcPr>
            <w:tcW w:w="3745" w:type="dxa"/>
            <w:shd w:val="clear" w:color="auto" w:fill="CCFFFF"/>
          </w:tcPr>
          <w:p w14:paraId="592B2814" w14:textId="77777777" w:rsidR="000011E6" w:rsidRPr="00884993" w:rsidRDefault="000011E6" w:rsidP="000011E6">
            <w:pPr>
              <w:rPr>
                <w:sz w:val="22"/>
                <w:szCs w:val="22"/>
              </w:rPr>
            </w:pPr>
            <w:r w:rsidRPr="00884993">
              <w:rPr>
                <w:sz w:val="22"/>
                <w:szCs w:val="22"/>
              </w:rPr>
              <w:t>NICE Guidance:</w:t>
            </w:r>
          </w:p>
        </w:tc>
        <w:tc>
          <w:tcPr>
            <w:tcW w:w="6031" w:type="dxa"/>
            <w:shd w:val="clear" w:color="auto" w:fill="auto"/>
          </w:tcPr>
          <w:p w14:paraId="67AD6C57" w14:textId="77777777" w:rsidR="000011E6" w:rsidRDefault="000011E6" w:rsidP="000011E6">
            <w:pPr>
              <w:overflowPunct/>
              <w:autoSpaceDE/>
              <w:autoSpaceDN/>
              <w:adjustRightInd/>
              <w:textAlignment w:val="auto"/>
              <w:rPr>
                <w:sz w:val="22"/>
                <w:szCs w:val="22"/>
              </w:rPr>
            </w:pPr>
            <w:r>
              <w:rPr>
                <w:sz w:val="22"/>
                <w:szCs w:val="22"/>
              </w:rPr>
              <w:t xml:space="preserve">RA: </w:t>
            </w:r>
            <w:hyperlink r:id="rId111" w:history="1">
              <w:r w:rsidRPr="008142F5">
                <w:rPr>
                  <w:rStyle w:val="Hyperlink"/>
                  <w:sz w:val="22"/>
                  <w:szCs w:val="22"/>
                </w:rPr>
                <w:t>TA480</w:t>
              </w:r>
            </w:hyperlink>
          </w:p>
          <w:p w14:paraId="03224716" w14:textId="77777777" w:rsidR="000011E6" w:rsidRPr="00586C73" w:rsidRDefault="000011E6" w:rsidP="000011E6">
            <w:pPr>
              <w:rPr>
                <w:sz w:val="22"/>
                <w:szCs w:val="22"/>
              </w:rPr>
            </w:pPr>
            <w:r>
              <w:rPr>
                <w:sz w:val="22"/>
                <w:szCs w:val="22"/>
              </w:rPr>
              <w:t xml:space="preserve">PsA: </w:t>
            </w:r>
            <w:hyperlink r:id="rId112" w:history="1">
              <w:r w:rsidRPr="008142F5">
                <w:rPr>
                  <w:rStyle w:val="Hyperlink"/>
                  <w:sz w:val="22"/>
                  <w:szCs w:val="22"/>
                </w:rPr>
                <w:t>TA543</w:t>
              </w:r>
            </w:hyperlink>
          </w:p>
        </w:tc>
      </w:tr>
      <w:tr w:rsidR="00881714" w:rsidRPr="00884993" w14:paraId="69DDE018" w14:textId="77777777" w:rsidTr="00881714">
        <w:trPr>
          <w:trHeight w:val="291"/>
        </w:trPr>
        <w:tc>
          <w:tcPr>
            <w:tcW w:w="3745" w:type="dxa"/>
            <w:shd w:val="clear" w:color="auto" w:fill="CCFFFF"/>
          </w:tcPr>
          <w:p w14:paraId="776C88E7" w14:textId="50D584C8" w:rsidR="00881714" w:rsidRPr="00884993" w:rsidRDefault="00881714" w:rsidP="00881714">
            <w:pPr>
              <w:rPr>
                <w:sz w:val="22"/>
                <w:szCs w:val="22"/>
              </w:rPr>
            </w:pPr>
            <w:r w:rsidRPr="00BB0D06">
              <w:rPr>
                <w:sz w:val="22"/>
                <w:szCs w:val="22"/>
              </w:rPr>
              <w:t>Renal Impairment</w:t>
            </w:r>
          </w:p>
        </w:tc>
        <w:tc>
          <w:tcPr>
            <w:tcW w:w="6031" w:type="dxa"/>
            <w:shd w:val="clear" w:color="auto" w:fill="auto"/>
          </w:tcPr>
          <w:p w14:paraId="19CD08F8" w14:textId="2A53CEBD" w:rsidR="00881714" w:rsidRDefault="00881714" w:rsidP="00881714">
            <w:pPr>
              <w:overflowPunct/>
              <w:autoSpaceDE/>
              <w:autoSpaceDN/>
              <w:adjustRightInd/>
              <w:textAlignment w:val="auto"/>
              <w:rPr>
                <w:sz w:val="22"/>
                <w:szCs w:val="22"/>
              </w:rPr>
            </w:pPr>
            <w:r w:rsidRPr="00BB0D06">
              <w:rPr>
                <w:sz w:val="22"/>
                <w:szCs w:val="22"/>
              </w:rPr>
              <w:t>Dose adjustment only when CrCl &lt;30ml/min: max dose 5mg od</w:t>
            </w:r>
          </w:p>
        </w:tc>
      </w:tr>
      <w:tr w:rsidR="00881714" w:rsidRPr="00884993" w14:paraId="23DDEE1E" w14:textId="77777777" w:rsidTr="00881714">
        <w:trPr>
          <w:trHeight w:val="291"/>
        </w:trPr>
        <w:tc>
          <w:tcPr>
            <w:tcW w:w="3745" w:type="dxa"/>
            <w:shd w:val="clear" w:color="auto" w:fill="CCFFFF"/>
          </w:tcPr>
          <w:p w14:paraId="0EEE0FB9" w14:textId="6C2EF995" w:rsidR="00881714" w:rsidRPr="00884993" w:rsidRDefault="00881714" w:rsidP="00881714">
            <w:pPr>
              <w:rPr>
                <w:sz w:val="22"/>
                <w:szCs w:val="22"/>
              </w:rPr>
            </w:pPr>
            <w:r w:rsidRPr="00BB0D06">
              <w:rPr>
                <w:sz w:val="22"/>
                <w:szCs w:val="22"/>
              </w:rPr>
              <w:t>Hepatic Impairment</w:t>
            </w:r>
          </w:p>
        </w:tc>
        <w:tc>
          <w:tcPr>
            <w:tcW w:w="6031" w:type="dxa"/>
            <w:shd w:val="clear" w:color="auto" w:fill="auto"/>
          </w:tcPr>
          <w:p w14:paraId="6129A98F" w14:textId="77777777" w:rsidR="00881714" w:rsidRPr="00BB0D06" w:rsidRDefault="00881714" w:rsidP="00881714">
            <w:pPr>
              <w:widowControl w:val="0"/>
              <w:rPr>
                <w:sz w:val="22"/>
                <w:szCs w:val="22"/>
              </w:rPr>
            </w:pPr>
            <w:r w:rsidRPr="00BB0D06">
              <w:rPr>
                <w:sz w:val="22"/>
                <w:szCs w:val="22"/>
              </w:rPr>
              <w:t>Child Pugh A – no adjustment required</w:t>
            </w:r>
          </w:p>
          <w:p w14:paraId="165ACA76" w14:textId="77777777" w:rsidR="00881714" w:rsidRPr="00BB0D06" w:rsidRDefault="00881714" w:rsidP="00881714">
            <w:pPr>
              <w:widowControl w:val="0"/>
              <w:rPr>
                <w:sz w:val="22"/>
                <w:szCs w:val="22"/>
              </w:rPr>
            </w:pPr>
            <w:r w:rsidRPr="00BB0D06">
              <w:rPr>
                <w:sz w:val="22"/>
                <w:szCs w:val="22"/>
              </w:rPr>
              <w:t xml:space="preserve">Child Pugh B reduce dose frequency to 5mg od </w:t>
            </w:r>
          </w:p>
          <w:p w14:paraId="5DDDDFC2" w14:textId="3415DFD8" w:rsidR="00881714" w:rsidRDefault="00881714" w:rsidP="00881714">
            <w:pPr>
              <w:overflowPunct/>
              <w:autoSpaceDE/>
              <w:autoSpaceDN/>
              <w:adjustRightInd/>
              <w:textAlignment w:val="auto"/>
              <w:rPr>
                <w:sz w:val="22"/>
                <w:szCs w:val="22"/>
              </w:rPr>
            </w:pPr>
            <w:r w:rsidRPr="00BB0D06">
              <w:rPr>
                <w:sz w:val="22"/>
                <w:szCs w:val="22"/>
              </w:rPr>
              <w:t>Child Pugh C – do not use</w:t>
            </w:r>
          </w:p>
        </w:tc>
      </w:tr>
      <w:tr w:rsidR="00881714" w:rsidRPr="00884993" w14:paraId="48A0B140" w14:textId="77777777" w:rsidTr="00881714">
        <w:trPr>
          <w:trHeight w:val="716"/>
        </w:trPr>
        <w:tc>
          <w:tcPr>
            <w:tcW w:w="3745" w:type="dxa"/>
            <w:shd w:val="clear" w:color="auto" w:fill="CCFFFF"/>
          </w:tcPr>
          <w:p w14:paraId="0C65378C" w14:textId="77777777" w:rsidR="00881714" w:rsidRPr="00884993" w:rsidRDefault="00881714" w:rsidP="00881714">
            <w:pPr>
              <w:rPr>
                <w:sz w:val="22"/>
                <w:szCs w:val="22"/>
              </w:rPr>
            </w:pPr>
            <w:r w:rsidRPr="00884993">
              <w:rPr>
                <w:sz w:val="22"/>
                <w:szCs w:val="22"/>
              </w:rPr>
              <w:t>Warnings/Contra-indications/Significant drug interactions:</w:t>
            </w:r>
          </w:p>
          <w:p w14:paraId="2210BB18" w14:textId="77777777" w:rsidR="00881714" w:rsidRPr="00884993" w:rsidRDefault="00881714" w:rsidP="00881714">
            <w:pPr>
              <w:rPr>
                <w:sz w:val="22"/>
                <w:szCs w:val="22"/>
              </w:rPr>
            </w:pPr>
            <w:r w:rsidRPr="00884993">
              <w:rPr>
                <w:sz w:val="22"/>
                <w:szCs w:val="22"/>
              </w:rPr>
              <w:t>(*Refer to licensed datasheet for special warnings)</w:t>
            </w:r>
          </w:p>
        </w:tc>
        <w:tc>
          <w:tcPr>
            <w:tcW w:w="6031" w:type="dxa"/>
            <w:shd w:val="clear" w:color="auto" w:fill="auto"/>
          </w:tcPr>
          <w:p w14:paraId="76E65B43" w14:textId="77777777" w:rsidR="00881714" w:rsidRDefault="00881714" w:rsidP="00881714">
            <w:pPr>
              <w:widowControl w:val="0"/>
              <w:rPr>
                <w:sz w:val="22"/>
                <w:szCs w:val="22"/>
              </w:rPr>
            </w:pPr>
            <w:r w:rsidRPr="00BB0D06">
              <w:rPr>
                <w:sz w:val="22"/>
                <w:szCs w:val="22"/>
              </w:rPr>
              <w:t>C/I  ALC &lt;0.75 x 10</w:t>
            </w:r>
            <w:r w:rsidRPr="00BB0D06">
              <w:rPr>
                <w:sz w:val="22"/>
                <w:szCs w:val="22"/>
                <w:vertAlign w:val="superscript"/>
              </w:rPr>
              <w:t>9</w:t>
            </w:r>
            <w:r w:rsidRPr="00BB0D06">
              <w:rPr>
                <w:sz w:val="22"/>
                <w:szCs w:val="22"/>
              </w:rPr>
              <w:t>cells/L, ANC &lt;1.0 x 10</w:t>
            </w:r>
            <w:r w:rsidRPr="00BB0D06">
              <w:rPr>
                <w:sz w:val="22"/>
                <w:szCs w:val="22"/>
                <w:vertAlign w:val="superscript"/>
              </w:rPr>
              <w:t>9</w:t>
            </w:r>
            <w:r>
              <w:rPr>
                <w:sz w:val="22"/>
                <w:szCs w:val="22"/>
              </w:rPr>
              <w:t>cells/L, Hb &lt;9g/dL</w:t>
            </w:r>
          </w:p>
          <w:p w14:paraId="7E48077B" w14:textId="77777777" w:rsidR="00881714" w:rsidRPr="00BB0D06" w:rsidRDefault="00881714" w:rsidP="00881714">
            <w:pPr>
              <w:widowControl w:val="0"/>
              <w:rPr>
                <w:sz w:val="22"/>
                <w:szCs w:val="22"/>
              </w:rPr>
            </w:pPr>
            <w:r w:rsidRPr="00BB0D06">
              <w:rPr>
                <w:sz w:val="22"/>
                <w:szCs w:val="22"/>
              </w:rPr>
              <w:t>Gastrointestinal perforation – possible increased risk. Use with caution in those with inc</w:t>
            </w:r>
            <w:r>
              <w:rPr>
                <w:sz w:val="22"/>
                <w:szCs w:val="22"/>
              </w:rPr>
              <w:t>reased risk (e.g. diverticulosis</w:t>
            </w:r>
            <w:r w:rsidRPr="00BB0D06">
              <w:rPr>
                <w:sz w:val="22"/>
                <w:szCs w:val="22"/>
              </w:rPr>
              <w:t>); promptly evaluate abdominal symptoms</w:t>
            </w:r>
          </w:p>
          <w:p w14:paraId="2C53FA7D" w14:textId="77777777" w:rsidR="00881714" w:rsidRPr="00BB0D06" w:rsidRDefault="00881714" w:rsidP="00881714">
            <w:pPr>
              <w:widowControl w:val="0"/>
              <w:rPr>
                <w:sz w:val="22"/>
                <w:szCs w:val="22"/>
              </w:rPr>
            </w:pPr>
            <w:r w:rsidRPr="00BB0D06">
              <w:rPr>
                <w:sz w:val="22"/>
                <w:szCs w:val="22"/>
              </w:rPr>
              <w:t>Interstitial lung disease – possible increased risk</w:t>
            </w:r>
          </w:p>
          <w:p w14:paraId="2CBD4A2E" w14:textId="77777777" w:rsidR="00881714" w:rsidRPr="00BB0D06" w:rsidRDefault="00881714" w:rsidP="00881714">
            <w:pPr>
              <w:widowControl w:val="0"/>
              <w:rPr>
                <w:sz w:val="22"/>
                <w:szCs w:val="22"/>
              </w:rPr>
            </w:pPr>
            <w:r w:rsidRPr="00BB0D06">
              <w:rPr>
                <w:sz w:val="22"/>
                <w:szCs w:val="22"/>
              </w:rPr>
              <w:t>Malignancy risk uncertain</w:t>
            </w:r>
          </w:p>
          <w:p w14:paraId="74D38619" w14:textId="77777777" w:rsidR="00881714" w:rsidRPr="00BB0D06" w:rsidRDefault="00881714" w:rsidP="00881714">
            <w:pPr>
              <w:widowControl w:val="0"/>
              <w:rPr>
                <w:sz w:val="22"/>
                <w:szCs w:val="22"/>
              </w:rPr>
            </w:pPr>
            <w:r w:rsidRPr="00BB0D06">
              <w:rPr>
                <w:sz w:val="22"/>
                <w:szCs w:val="22"/>
              </w:rPr>
              <w:t>Reactivation of herpes virus</w:t>
            </w:r>
          </w:p>
          <w:p w14:paraId="71CC608B" w14:textId="77777777" w:rsidR="00881714" w:rsidRPr="00884993" w:rsidRDefault="00881714" w:rsidP="00881714">
            <w:pPr>
              <w:rPr>
                <w:sz w:val="22"/>
                <w:szCs w:val="22"/>
              </w:rPr>
            </w:pPr>
            <w:r w:rsidRPr="00BB0D06">
              <w:rPr>
                <w:sz w:val="22"/>
                <w:szCs w:val="22"/>
              </w:rPr>
              <w:t xml:space="preserve">Contains lactose - avoid </w:t>
            </w:r>
            <w:r w:rsidRPr="00BB0D06">
              <w:rPr>
                <w:sz w:val="22"/>
                <w:szCs w:val="22"/>
                <w:highlight w:val="white"/>
              </w:rPr>
              <w:t>in Lapp lactase deficiency or glucose-galactose malabsorption</w:t>
            </w:r>
          </w:p>
        </w:tc>
      </w:tr>
      <w:tr w:rsidR="00881714" w:rsidRPr="00884993" w14:paraId="1E817711" w14:textId="77777777" w:rsidTr="00881714">
        <w:trPr>
          <w:trHeight w:val="716"/>
        </w:trPr>
        <w:tc>
          <w:tcPr>
            <w:tcW w:w="3745" w:type="dxa"/>
            <w:shd w:val="clear" w:color="auto" w:fill="CCFFFF"/>
          </w:tcPr>
          <w:p w14:paraId="57BCCEB9" w14:textId="77777777" w:rsidR="00881714" w:rsidRPr="00884993" w:rsidRDefault="00881714" w:rsidP="00881714">
            <w:pPr>
              <w:rPr>
                <w:sz w:val="22"/>
                <w:szCs w:val="22"/>
              </w:rPr>
            </w:pPr>
            <w:r w:rsidRPr="00884993">
              <w:rPr>
                <w:sz w:val="22"/>
                <w:szCs w:val="22"/>
              </w:rPr>
              <w:t>Pregnancy &amp; Breastfeeding:</w:t>
            </w:r>
          </w:p>
        </w:tc>
        <w:tc>
          <w:tcPr>
            <w:tcW w:w="6031" w:type="dxa"/>
            <w:shd w:val="clear" w:color="auto" w:fill="auto"/>
          </w:tcPr>
          <w:p w14:paraId="01536D52" w14:textId="77777777" w:rsidR="00881714" w:rsidRPr="00BB0D06" w:rsidRDefault="00881714" w:rsidP="00881714">
            <w:pPr>
              <w:widowControl w:val="0"/>
              <w:rPr>
                <w:sz w:val="22"/>
                <w:szCs w:val="22"/>
              </w:rPr>
            </w:pPr>
            <w:r>
              <w:rPr>
                <w:sz w:val="22"/>
                <w:szCs w:val="22"/>
              </w:rPr>
              <w:t>No data. Manufacturer recommends w</w:t>
            </w:r>
            <w:r w:rsidRPr="00BB0D06">
              <w:rPr>
                <w:sz w:val="22"/>
                <w:szCs w:val="22"/>
              </w:rPr>
              <w:t xml:space="preserve">omen of child-bearing potential to use contraception during treatment and at least 4 weeks after stopping. </w:t>
            </w:r>
          </w:p>
          <w:p w14:paraId="78959BA8" w14:textId="0BBC248A" w:rsidR="00881714" w:rsidRPr="00BB0D06" w:rsidRDefault="00D10903" w:rsidP="00881714">
            <w:pPr>
              <w:widowControl w:val="0"/>
              <w:rPr>
                <w:sz w:val="22"/>
                <w:szCs w:val="22"/>
              </w:rPr>
            </w:pPr>
            <w:r>
              <w:rPr>
                <w:sz w:val="22"/>
                <w:szCs w:val="22"/>
              </w:rPr>
              <w:t>Avoid in pregnancy and breast-feeding</w:t>
            </w:r>
          </w:p>
        </w:tc>
      </w:tr>
      <w:tr w:rsidR="00881714" w:rsidRPr="00884993" w14:paraId="40019DF2" w14:textId="77777777" w:rsidTr="00881714">
        <w:trPr>
          <w:trHeight w:val="311"/>
        </w:trPr>
        <w:tc>
          <w:tcPr>
            <w:tcW w:w="3745" w:type="dxa"/>
            <w:shd w:val="clear" w:color="auto" w:fill="CCFFFF"/>
          </w:tcPr>
          <w:p w14:paraId="67C18FEE" w14:textId="77777777" w:rsidR="00881714" w:rsidRPr="00884993" w:rsidRDefault="00881714" w:rsidP="00881714">
            <w:pPr>
              <w:rPr>
                <w:sz w:val="22"/>
                <w:szCs w:val="22"/>
              </w:rPr>
            </w:pPr>
            <w:r w:rsidRPr="00884993">
              <w:rPr>
                <w:sz w:val="22"/>
                <w:szCs w:val="22"/>
              </w:rPr>
              <w:t>Assessment of Response:</w:t>
            </w:r>
          </w:p>
        </w:tc>
        <w:tc>
          <w:tcPr>
            <w:tcW w:w="6031" w:type="dxa"/>
            <w:shd w:val="clear" w:color="auto" w:fill="auto"/>
          </w:tcPr>
          <w:p w14:paraId="07BB859D" w14:textId="77777777" w:rsidR="00881714" w:rsidRPr="00884993" w:rsidRDefault="00881714" w:rsidP="00881714">
            <w:pPr>
              <w:rPr>
                <w:sz w:val="22"/>
                <w:szCs w:val="22"/>
              </w:rPr>
            </w:pPr>
            <w:r w:rsidRPr="00BB0D06">
              <w:rPr>
                <w:sz w:val="22"/>
                <w:szCs w:val="22"/>
              </w:rPr>
              <w:t>NICE - moderate EULAR response at 6 months</w:t>
            </w:r>
          </w:p>
        </w:tc>
      </w:tr>
      <w:tr w:rsidR="00881714" w:rsidRPr="00884993" w14:paraId="3AD543F3" w14:textId="77777777" w:rsidTr="00881714">
        <w:trPr>
          <w:trHeight w:val="953"/>
        </w:trPr>
        <w:tc>
          <w:tcPr>
            <w:tcW w:w="3745" w:type="dxa"/>
            <w:shd w:val="clear" w:color="auto" w:fill="CCFFFF"/>
          </w:tcPr>
          <w:p w14:paraId="19151273" w14:textId="77777777" w:rsidR="00881714" w:rsidRPr="00884993" w:rsidRDefault="00881714" w:rsidP="00881714">
            <w:pPr>
              <w:rPr>
                <w:sz w:val="22"/>
                <w:szCs w:val="22"/>
              </w:rPr>
            </w:pPr>
            <w:r w:rsidRPr="00884993">
              <w:rPr>
                <w:sz w:val="22"/>
                <w:szCs w:val="22"/>
              </w:rPr>
              <w:t>Baseline Tests:</w:t>
            </w:r>
          </w:p>
        </w:tc>
        <w:tc>
          <w:tcPr>
            <w:tcW w:w="6031" w:type="dxa"/>
            <w:shd w:val="clear" w:color="auto" w:fill="auto"/>
          </w:tcPr>
          <w:p w14:paraId="33D65266" w14:textId="77777777" w:rsidR="00881714" w:rsidRDefault="00881714" w:rsidP="00881714">
            <w:pPr>
              <w:widowControl w:val="0"/>
              <w:rPr>
                <w:sz w:val="22"/>
                <w:szCs w:val="22"/>
              </w:rPr>
            </w:pPr>
            <w:r>
              <w:rPr>
                <w:sz w:val="22"/>
                <w:szCs w:val="22"/>
              </w:rPr>
              <w:t>FBC, U&amp;Es, LFT</w:t>
            </w:r>
            <w:r w:rsidRPr="00BB0D06">
              <w:rPr>
                <w:sz w:val="22"/>
                <w:szCs w:val="22"/>
              </w:rPr>
              <w:t>s</w:t>
            </w:r>
          </w:p>
          <w:p w14:paraId="698C9C44" w14:textId="2DFF3D10" w:rsidR="00881714" w:rsidRPr="00BB0D06" w:rsidRDefault="00881714" w:rsidP="00881714">
            <w:pPr>
              <w:widowControl w:val="0"/>
              <w:rPr>
                <w:sz w:val="22"/>
                <w:szCs w:val="22"/>
              </w:rPr>
            </w:pPr>
            <w:r>
              <w:rPr>
                <w:sz w:val="22"/>
                <w:szCs w:val="22"/>
              </w:rPr>
              <w:t>Lipids</w:t>
            </w:r>
          </w:p>
          <w:p w14:paraId="5253BE09" w14:textId="77777777" w:rsidR="00881714" w:rsidRDefault="00881714" w:rsidP="00881714">
            <w:pPr>
              <w:widowControl w:val="0"/>
              <w:rPr>
                <w:sz w:val="22"/>
                <w:szCs w:val="22"/>
              </w:rPr>
            </w:pPr>
            <w:r>
              <w:rPr>
                <w:sz w:val="22"/>
                <w:szCs w:val="22"/>
              </w:rPr>
              <w:t xml:space="preserve">Consider </w:t>
            </w:r>
            <w:r w:rsidRPr="00BB0D06">
              <w:rPr>
                <w:sz w:val="22"/>
                <w:szCs w:val="22"/>
              </w:rPr>
              <w:t xml:space="preserve">CXR                        </w:t>
            </w:r>
          </w:p>
          <w:p w14:paraId="71AE373C" w14:textId="77777777" w:rsidR="00881714" w:rsidRPr="00BB0D06" w:rsidRDefault="00881714" w:rsidP="00881714">
            <w:pPr>
              <w:widowControl w:val="0"/>
              <w:rPr>
                <w:sz w:val="22"/>
                <w:szCs w:val="22"/>
              </w:rPr>
            </w:pPr>
            <w:r>
              <w:rPr>
                <w:sz w:val="22"/>
                <w:szCs w:val="22"/>
              </w:rPr>
              <w:t xml:space="preserve">Consider </w:t>
            </w:r>
            <w:r w:rsidRPr="00BB0D06">
              <w:rPr>
                <w:sz w:val="22"/>
                <w:szCs w:val="22"/>
              </w:rPr>
              <w:t>Hepatitis B and C</w:t>
            </w:r>
            <w:r>
              <w:rPr>
                <w:sz w:val="22"/>
                <w:szCs w:val="22"/>
              </w:rPr>
              <w:t xml:space="preserve">. quantiferon, </w:t>
            </w:r>
            <w:r w:rsidRPr="00BB0D06">
              <w:rPr>
                <w:sz w:val="22"/>
                <w:szCs w:val="22"/>
              </w:rPr>
              <w:t>HIV</w:t>
            </w:r>
            <w:r>
              <w:rPr>
                <w:sz w:val="22"/>
                <w:szCs w:val="22"/>
              </w:rPr>
              <w:t xml:space="preserve"> testing</w:t>
            </w:r>
          </w:p>
          <w:p w14:paraId="4389DC14" w14:textId="77777777" w:rsidR="00881714" w:rsidRPr="00BB0D06" w:rsidRDefault="00881714" w:rsidP="00881714">
            <w:pPr>
              <w:widowControl w:val="0"/>
              <w:rPr>
                <w:sz w:val="22"/>
                <w:szCs w:val="22"/>
              </w:rPr>
            </w:pPr>
            <w:r>
              <w:rPr>
                <w:sz w:val="22"/>
                <w:szCs w:val="22"/>
              </w:rPr>
              <w:t xml:space="preserve">Consider </w:t>
            </w:r>
            <w:r w:rsidRPr="00BB0D06">
              <w:rPr>
                <w:sz w:val="22"/>
                <w:szCs w:val="22"/>
              </w:rPr>
              <w:t>Urinalysis</w:t>
            </w:r>
          </w:p>
          <w:p w14:paraId="1ACCB8AB" w14:textId="77777777" w:rsidR="00881714" w:rsidRPr="00884993" w:rsidRDefault="00881714" w:rsidP="00881714">
            <w:pPr>
              <w:rPr>
                <w:sz w:val="22"/>
                <w:szCs w:val="22"/>
              </w:rPr>
            </w:pPr>
            <w:r w:rsidRPr="00BB0D06">
              <w:rPr>
                <w:sz w:val="22"/>
                <w:szCs w:val="22"/>
              </w:rPr>
              <w:t xml:space="preserve">*Consider pregnancy test </w:t>
            </w:r>
            <w:r>
              <w:rPr>
                <w:sz w:val="22"/>
                <w:szCs w:val="22"/>
              </w:rPr>
              <w:t>FBC</w:t>
            </w:r>
          </w:p>
        </w:tc>
      </w:tr>
      <w:tr w:rsidR="00881714" w:rsidRPr="00884993" w14:paraId="458D7E1D" w14:textId="77777777" w:rsidTr="00881714">
        <w:trPr>
          <w:trHeight w:val="421"/>
        </w:trPr>
        <w:tc>
          <w:tcPr>
            <w:tcW w:w="3745" w:type="dxa"/>
            <w:shd w:val="clear" w:color="auto" w:fill="CCFFFF"/>
          </w:tcPr>
          <w:p w14:paraId="229C943A" w14:textId="77777777" w:rsidR="00881714" w:rsidRPr="00884993" w:rsidRDefault="00881714" w:rsidP="00881714">
            <w:pPr>
              <w:rPr>
                <w:sz w:val="22"/>
                <w:szCs w:val="22"/>
              </w:rPr>
            </w:pPr>
            <w:r w:rsidRPr="00884993">
              <w:rPr>
                <w:sz w:val="22"/>
                <w:szCs w:val="22"/>
              </w:rPr>
              <w:t>Routine Monitoring:</w:t>
            </w:r>
          </w:p>
        </w:tc>
        <w:tc>
          <w:tcPr>
            <w:tcW w:w="6031" w:type="dxa"/>
            <w:shd w:val="clear" w:color="auto" w:fill="auto"/>
          </w:tcPr>
          <w:p w14:paraId="512296E3" w14:textId="77777777" w:rsidR="00D10903" w:rsidRPr="00950957" w:rsidRDefault="00D10903" w:rsidP="00D10903">
            <w:pPr>
              <w:rPr>
                <w:sz w:val="22"/>
                <w:szCs w:val="22"/>
              </w:rPr>
            </w:pPr>
            <w:r w:rsidRPr="00950957">
              <w:rPr>
                <w:sz w:val="22"/>
                <w:szCs w:val="22"/>
              </w:rPr>
              <w:t xml:space="preserve">FBC, U&amp;Es, LFTs every 2 weeks until on stable dose for 6 weeks </w:t>
            </w:r>
          </w:p>
          <w:p w14:paraId="37035736" w14:textId="77777777" w:rsidR="00D10903" w:rsidRPr="00950957" w:rsidRDefault="00D10903" w:rsidP="00D10903">
            <w:pPr>
              <w:rPr>
                <w:sz w:val="22"/>
                <w:szCs w:val="22"/>
              </w:rPr>
            </w:pPr>
            <w:r w:rsidRPr="00950957">
              <w:rPr>
                <w:sz w:val="22"/>
                <w:szCs w:val="22"/>
              </w:rPr>
              <w:t>Once on stable dose, monthly for 3 months</w:t>
            </w:r>
            <w:r>
              <w:rPr>
                <w:sz w:val="22"/>
                <w:szCs w:val="22"/>
              </w:rPr>
              <w:t xml:space="preserve"> and then every 3 months</w:t>
            </w:r>
            <w:r w:rsidRPr="00950957">
              <w:rPr>
                <w:sz w:val="22"/>
                <w:szCs w:val="22"/>
              </w:rPr>
              <w:t xml:space="preserve">. </w:t>
            </w:r>
          </w:p>
          <w:p w14:paraId="51636F7D" w14:textId="77777777" w:rsidR="00881714" w:rsidRPr="00BB0D06" w:rsidRDefault="00881714" w:rsidP="00881714">
            <w:pPr>
              <w:widowControl w:val="0"/>
              <w:rPr>
                <w:sz w:val="22"/>
                <w:szCs w:val="22"/>
              </w:rPr>
            </w:pPr>
            <w:r w:rsidRPr="00BB0D06">
              <w:rPr>
                <w:sz w:val="22"/>
                <w:szCs w:val="22"/>
              </w:rPr>
              <w:t>Lipids - at 8 weeks, treat according to current guidance</w:t>
            </w:r>
          </w:p>
          <w:p w14:paraId="6EB8E09B" w14:textId="77777777" w:rsidR="00881714" w:rsidRPr="00884993" w:rsidRDefault="00881714" w:rsidP="00881714">
            <w:pPr>
              <w:rPr>
                <w:sz w:val="22"/>
                <w:szCs w:val="22"/>
              </w:rPr>
            </w:pPr>
            <w:r w:rsidRPr="00BB0D06">
              <w:rPr>
                <w:sz w:val="22"/>
                <w:szCs w:val="22"/>
              </w:rPr>
              <w:t>Periodic skin examination (risk non-melanoma skin cancer)</w:t>
            </w:r>
          </w:p>
        </w:tc>
      </w:tr>
      <w:tr w:rsidR="00881714" w:rsidRPr="00884993" w14:paraId="55CBE667" w14:textId="77777777" w:rsidTr="00881714">
        <w:trPr>
          <w:trHeight w:val="132"/>
        </w:trPr>
        <w:tc>
          <w:tcPr>
            <w:tcW w:w="3745" w:type="dxa"/>
            <w:shd w:val="clear" w:color="auto" w:fill="CCFFFF"/>
          </w:tcPr>
          <w:p w14:paraId="602BF646" w14:textId="77777777" w:rsidR="00881714" w:rsidRPr="00884993" w:rsidRDefault="00881714" w:rsidP="00881714">
            <w:pPr>
              <w:rPr>
                <w:sz w:val="22"/>
                <w:szCs w:val="22"/>
              </w:rPr>
            </w:pPr>
            <w:r w:rsidRPr="00884993">
              <w:rPr>
                <w:sz w:val="22"/>
                <w:szCs w:val="22"/>
              </w:rPr>
              <w:t xml:space="preserve">Indications for Stopping Therapy: </w:t>
            </w:r>
          </w:p>
        </w:tc>
        <w:tc>
          <w:tcPr>
            <w:tcW w:w="6031" w:type="dxa"/>
            <w:shd w:val="clear" w:color="auto" w:fill="auto"/>
          </w:tcPr>
          <w:p w14:paraId="1193D02C" w14:textId="619E5CC1" w:rsidR="00881714" w:rsidRPr="009E30CF" w:rsidRDefault="00881714" w:rsidP="00881714">
            <w:pPr>
              <w:widowControl w:val="0"/>
              <w:rPr>
                <w:sz w:val="22"/>
                <w:szCs w:val="22"/>
              </w:rPr>
            </w:pPr>
            <w:r w:rsidRPr="009E30CF">
              <w:rPr>
                <w:sz w:val="22"/>
                <w:szCs w:val="22"/>
              </w:rPr>
              <w:t xml:space="preserve">Absolute lymphocyte count - 2 sequential routine monitoring values between 0.5 and 0.75 x </w:t>
            </w:r>
            <w:r w:rsidR="00D72B14">
              <w:rPr>
                <w:sz w:val="22"/>
                <w:szCs w:val="22"/>
              </w:rPr>
              <w:t>10</w:t>
            </w:r>
            <w:r w:rsidR="00D72B14" w:rsidRPr="00D10903">
              <w:rPr>
                <w:sz w:val="22"/>
                <w:szCs w:val="22"/>
                <w:vertAlign w:val="superscript"/>
              </w:rPr>
              <w:t>9</w:t>
            </w:r>
            <w:r w:rsidR="00D72B14">
              <w:rPr>
                <w:sz w:val="22"/>
                <w:szCs w:val="22"/>
              </w:rPr>
              <w:t xml:space="preserve"> </w:t>
            </w:r>
            <w:r w:rsidR="00D72B14" w:rsidRPr="009E30CF">
              <w:rPr>
                <w:sz w:val="22"/>
                <w:szCs w:val="22"/>
              </w:rPr>
              <w:t xml:space="preserve">cells/L </w:t>
            </w:r>
            <w:r w:rsidRPr="009E30CF">
              <w:rPr>
                <w:sz w:val="22"/>
                <w:szCs w:val="22"/>
              </w:rPr>
              <w:t xml:space="preserve">, stop and restart when &gt;0.75 x </w:t>
            </w:r>
            <w:r w:rsidR="00D72B14">
              <w:rPr>
                <w:sz w:val="22"/>
                <w:szCs w:val="22"/>
              </w:rPr>
              <w:t>10</w:t>
            </w:r>
            <w:r w:rsidR="00D72B14" w:rsidRPr="00D10903">
              <w:rPr>
                <w:sz w:val="22"/>
                <w:szCs w:val="22"/>
                <w:vertAlign w:val="superscript"/>
              </w:rPr>
              <w:t>9</w:t>
            </w:r>
            <w:r w:rsidR="00D72B14">
              <w:rPr>
                <w:sz w:val="22"/>
                <w:szCs w:val="22"/>
              </w:rPr>
              <w:t xml:space="preserve"> </w:t>
            </w:r>
            <w:r w:rsidR="00D72B14" w:rsidRPr="009E30CF">
              <w:rPr>
                <w:sz w:val="22"/>
                <w:szCs w:val="22"/>
              </w:rPr>
              <w:t xml:space="preserve">cells/L </w:t>
            </w:r>
            <w:r w:rsidRPr="009E30CF">
              <w:rPr>
                <w:sz w:val="22"/>
                <w:szCs w:val="22"/>
              </w:rPr>
              <w:t xml:space="preserve">. If value &lt;0.5 x </w:t>
            </w:r>
            <w:r w:rsidR="00D72B14">
              <w:rPr>
                <w:sz w:val="22"/>
                <w:szCs w:val="22"/>
              </w:rPr>
              <w:t>10</w:t>
            </w:r>
            <w:r w:rsidR="00D72B14" w:rsidRPr="00D10903">
              <w:rPr>
                <w:sz w:val="22"/>
                <w:szCs w:val="22"/>
                <w:vertAlign w:val="superscript"/>
              </w:rPr>
              <w:t>9</w:t>
            </w:r>
            <w:r w:rsidR="00D72B14">
              <w:rPr>
                <w:sz w:val="22"/>
                <w:szCs w:val="22"/>
              </w:rPr>
              <w:t xml:space="preserve"> </w:t>
            </w:r>
            <w:r w:rsidR="00D72B14" w:rsidRPr="009E30CF">
              <w:rPr>
                <w:sz w:val="22"/>
                <w:szCs w:val="22"/>
              </w:rPr>
              <w:t xml:space="preserve">cells/L </w:t>
            </w:r>
            <w:r w:rsidRPr="009E30CF">
              <w:rPr>
                <w:sz w:val="22"/>
                <w:szCs w:val="22"/>
              </w:rPr>
              <w:t>repeat test within</w:t>
            </w:r>
            <w:r w:rsidR="00D72B14">
              <w:rPr>
                <w:sz w:val="22"/>
                <w:szCs w:val="22"/>
              </w:rPr>
              <w:t xml:space="preserve"> 7 days and stop if still &lt;0.5</w:t>
            </w:r>
          </w:p>
          <w:p w14:paraId="6EA5DB4F" w14:textId="77777777" w:rsidR="00881714" w:rsidRPr="009E30CF" w:rsidRDefault="00881714" w:rsidP="00881714">
            <w:pPr>
              <w:widowControl w:val="0"/>
              <w:rPr>
                <w:sz w:val="22"/>
                <w:szCs w:val="22"/>
              </w:rPr>
            </w:pPr>
            <w:r w:rsidRPr="009E30CF">
              <w:rPr>
                <w:sz w:val="22"/>
                <w:szCs w:val="22"/>
              </w:rPr>
              <w:t xml:space="preserve">ANC - 2 sequential routine monitoring values between 0.5 and 1.0 x 109cells/L, stop and restart when &gt;1.0. If value &lt;0.5 x 109L repeat test within 7 days and stop if still &lt;0.5. </w:t>
            </w:r>
          </w:p>
          <w:p w14:paraId="6BDB4FCC" w14:textId="77777777" w:rsidR="00881714" w:rsidRPr="009E30CF" w:rsidRDefault="00881714" w:rsidP="00881714">
            <w:pPr>
              <w:widowControl w:val="0"/>
              <w:rPr>
                <w:sz w:val="22"/>
                <w:szCs w:val="22"/>
              </w:rPr>
            </w:pPr>
            <w:r w:rsidRPr="009E30CF">
              <w:rPr>
                <w:sz w:val="22"/>
                <w:szCs w:val="22"/>
              </w:rPr>
              <w:t>Hb - &gt;2g/dL decrease or &lt;8.0g/dL, stop and await normalisation of Hb</w:t>
            </w:r>
          </w:p>
          <w:p w14:paraId="579126BD" w14:textId="77777777" w:rsidR="00881714" w:rsidRDefault="00881714" w:rsidP="00881714">
            <w:pPr>
              <w:rPr>
                <w:sz w:val="22"/>
                <w:szCs w:val="22"/>
              </w:rPr>
            </w:pPr>
            <w:r>
              <w:rPr>
                <w:sz w:val="22"/>
                <w:szCs w:val="22"/>
              </w:rPr>
              <w:t>Serious infection</w:t>
            </w:r>
          </w:p>
          <w:p w14:paraId="76881492" w14:textId="13C96AB6" w:rsidR="00881714" w:rsidRDefault="00881714" w:rsidP="00881714">
            <w:pPr>
              <w:rPr>
                <w:sz w:val="22"/>
                <w:szCs w:val="22"/>
              </w:rPr>
            </w:pPr>
            <w:r>
              <w:rPr>
                <w:sz w:val="22"/>
                <w:szCs w:val="22"/>
              </w:rPr>
              <w:t>Pregnancy</w:t>
            </w:r>
          </w:p>
          <w:p w14:paraId="5D8A252A" w14:textId="77777777" w:rsidR="00881714" w:rsidRDefault="00881714" w:rsidP="00881714">
            <w:pPr>
              <w:rPr>
                <w:sz w:val="22"/>
                <w:szCs w:val="22"/>
              </w:rPr>
            </w:pPr>
            <w:r>
              <w:rPr>
                <w:sz w:val="22"/>
                <w:szCs w:val="22"/>
              </w:rPr>
              <w:t>A</w:t>
            </w:r>
            <w:r w:rsidRPr="009E30CF">
              <w:rPr>
                <w:sz w:val="22"/>
                <w:szCs w:val="22"/>
              </w:rPr>
              <w:t xml:space="preserve">bdominal symptoms suggesting perforation, </w:t>
            </w:r>
          </w:p>
          <w:p w14:paraId="17C0AD7A" w14:textId="057B21A6" w:rsidR="00881714" w:rsidRPr="00884993" w:rsidRDefault="00881714" w:rsidP="00881714">
            <w:pPr>
              <w:rPr>
                <w:sz w:val="22"/>
                <w:szCs w:val="22"/>
              </w:rPr>
            </w:pPr>
            <w:r w:rsidRPr="009E30CF">
              <w:rPr>
                <w:sz w:val="22"/>
                <w:szCs w:val="22"/>
              </w:rPr>
              <w:t>Increased SOB</w:t>
            </w:r>
            <w:r w:rsidR="00D72B14">
              <w:rPr>
                <w:sz w:val="22"/>
                <w:szCs w:val="22"/>
              </w:rPr>
              <w:t xml:space="preserve"> – concerns regarding possible lung</w:t>
            </w:r>
            <w:r>
              <w:rPr>
                <w:sz w:val="22"/>
                <w:szCs w:val="22"/>
              </w:rPr>
              <w:t xml:space="preserve"> fibrosis</w:t>
            </w:r>
          </w:p>
        </w:tc>
      </w:tr>
      <w:tr w:rsidR="00881714" w:rsidRPr="00884993" w14:paraId="3C99633C" w14:textId="77777777" w:rsidTr="00881714">
        <w:trPr>
          <w:trHeight w:val="934"/>
        </w:trPr>
        <w:tc>
          <w:tcPr>
            <w:tcW w:w="9776" w:type="dxa"/>
            <w:gridSpan w:val="2"/>
            <w:shd w:val="clear" w:color="auto" w:fill="auto"/>
          </w:tcPr>
          <w:p w14:paraId="0A52E965" w14:textId="77777777" w:rsidR="00881714" w:rsidRPr="00884993" w:rsidRDefault="00881714" w:rsidP="00881714">
            <w:pPr>
              <w:rPr>
                <w:sz w:val="22"/>
                <w:szCs w:val="22"/>
              </w:rPr>
            </w:pPr>
            <w:r w:rsidRPr="00884993">
              <w:rPr>
                <w:sz w:val="22"/>
                <w:szCs w:val="22"/>
              </w:rPr>
              <w:lastRenderedPageBreak/>
              <w:t>Please refer to licensed datasheet for more comprehensive prescribing information:</w:t>
            </w:r>
          </w:p>
          <w:p w14:paraId="29D0715A" w14:textId="77777777" w:rsidR="00881714" w:rsidRPr="00884993" w:rsidRDefault="00881714" w:rsidP="00881714">
            <w:pPr>
              <w:rPr>
                <w:sz w:val="22"/>
                <w:szCs w:val="22"/>
              </w:rPr>
            </w:pPr>
            <w:r w:rsidRPr="00BB0D06">
              <w:rPr>
                <w:sz w:val="22"/>
                <w:szCs w:val="22"/>
              </w:rPr>
              <w:t>https://www.medicines.org.uk/emc/product/2434</w:t>
            </w:r>
          </w:p>
        </w:tc>
      </w:tr>
    </w:tbl>
    <w:p w14:paraId="3B4290F7" w14:textId="428B2B38" w:rsidR="008C2BD4" w:rsidRDefault="00A443F9" w:rsidP="008C2BD4">
      <w:pPr>
        <w:pStyle w:val="Heading1"/>
      </w:pPr>
      <w:r>
        <w:br w:type="page"/>
      </w:r>
      <w:bookmarkStart w:id="39" w:name="_Toc531873951"/>
      <w:r w:rsidR="008C2BD4" w:rsidRPr="00F138AD">
        <w:lastRenderedPageBreak/>
        <w:t xml:space="preserve">Guidance on </w:t>
      </w:r>
      <w:r w:rsidR="008C2BD4" w:rsidRPr="00F138AD">
        <w:rPr>
          <w:u w:val="single"/>
        </w:rPr>
        <w:t>vaccination</w:t>
      </w:r>
      <w:r w:rsidR="008C2BD4" w:rsidRPr="00F138AD">
        <w:t xml:space="preserve"> </w:t>
      </w:r>
      <w:r w:rsidR="00403AE5">
        <w:t xml:space="preserve">and </w:t>
      </w:r>
      <w:r w:rsidR="00403AE5" w:rsidRPr="00403AE5">
        <w:rPr>
          <w:u w:val="single"/>
        </w:rPr>
        <w:t>travel</w:t>
      </w:r>
      <w:r w:rsidR="00403AE5">
        <w:t xml:space="preserve"> </w:t>
      </w:r>
      <w:r w:rsidR="008C2BD4" w:rsidRPr="00F138AD">
        <w:t>in patients receiving DMARDs</w:t>
      </w:r>
      <w:bookmarkEnd w:id="39"/>
      <w:r w:rsidR="008C2BD4" w:rsidRPr="00F138AD">
        <w:t xml:space="preserve"> </w:t>
      </w:r>
    </w:p>
    <w:p w14:paraId="03C02E2C" w14:textId="77777777" w:rsidR="008C2BD4" w:rsidRDefault="008C2BD4" w:rsidP="008C2BD4">
      <w:pPr>
        <w:rPr>
          <w:b/>
          <w:szCs w:val="24"/>
          <w:u w:val="single"/>
        </w:rPr>
      </w:pPr>
    </w:p>
    <w:p w14:paraId="7EB80AAC" w14:textId="77777777" w:rsidR="008C2BD4" w:rsidRPr="00787335" w:rsidRDefault="008C2BD4" w:rsidP="008C2BD4">
      <w:pPr>
        <w:rPr>
          <w:b/>
          <w:szCs w:val="24"/>
          <w:u w:val="single"/>
        </w:rPr>
      </w:pPr>
    </w:p>
    <w:p w14:paraId="757E6DA1" w14:textId="474CDFAC" w:rsidR="008C2BD4" w:rsidRDefault="008C2BD4" w:rsidP="00BB0D06">
      <w:pPr>
        <w:spacing w:line="360" w:lineRule="auto"/>
        <w:rPr>
          <w:szCs w:val="24"/>
        </w:rPr>
      </w:pPr>
      <w:r w:rsidRPr="00787335">
        <w:rPr>
          <w:szCs w:val="24"/>
        </w:rPr>
        <w:t xml:space="preserve">Live vaccines can cause severe or fatal infections in immunocompromised individuals. If </w:t>
      </w:r>
      <w:r>
        <w:rPr>
          <w:szCs w:val="24"/>
        </w:rPr>
        <w:t xml:space="preserve">a </w:t>
      </w:r>
      <w:r w:rsidRPr="00787335">
        <w:rPr>
          <w:szCs w:val="24"/>
        </w:rPr>
        <w:t xml:space="preserve">live vaccination is required it should be performed at least </w:t>
      </w:r>
      <w:r w:rsidRPr="00787335">
        <w:rPr>
          <w:szCs w:val="24"/>
          <w:u w:val="single"/>
        </w:rPr>
        <w:t>2</w:t>
      </w:r>
      <w:r>
        <w:rPr>
          <w:szCs w:val="24"/>
          <w:u w:val="single"/>
        </w:rPr>
        <w:t>,</w:t>
      </w:r>
      <w:r w:rsidRPr="00787335">
        <w:rPr>
          <w:szCs w:val="24"/>
          <w:u w:val="single"/>
        </w:rPr>
        <w:t xml:space="preserve"> and ideally 4 weeks</w:t>
      </w:r>
      <w:r>
        <w:rPr>
          <w:szCs w:val="24"/>
          <w:u w:val="single"/>
        </w:rPr>
        <w:t>,</w:t>
      </w:r>
      <w:r w:rsidRPr="00787335">
        <w:rPr>
          <w:szCs w:val="24"/>
        </w:rPr>
        <w:t xml:space="preserve"> prior to starting treatment with </w:t>
      </w:r>
      <w:r>
        <w:rPr>
          <w:szCs w:val="24"/>
        </w:rPr>
        <w:t xml:space="preserve">most </w:t>
      </w:r>
      <w:r w:rsidRPr="00787335">
        <w:rPr>
          <w:szCs w:val="24"/>
        </w:rPr>
        <w:t xml:space="preserve">synthetic and </w:t>
      </w:r>
      <w:r>
        <w:rPr>
          <w:szCs w:val="24"/>
        </w:rPr>
        <w:t>all b</w:t>
      </w:r>
      <w:r w:rsidRPr="00787335">
        <w:rPr>
          <w:szCs w:val="24"/>
        </w:rPr>
        <w:t>DMARDs.</w:t>
      </w:r>
      <w:r w:rsidR="002F29C6">
        <w:rPr>
          <w:szCs w:val="24"/>
        </w:rPr>
        <w:t xml:space="preserve"> It should be given at least 3 weeks before immunoglobulins.</w:t>
      </w:r>
    </w:p>
    <w:p w14:paraId="0E40B127" w14:textId="77777777" w:rsidR="008C2BD4" w:rsidRPr="005955CF" w:rsidRDefault="008C2BD4" w:rsidP="00BB0D06">
      <w:pPr>
        <w:spacing w:line="360" w:lineRule="auto"/>
        <w:rPr>
          <w:sz w:val="18"/>
          <w:szCs w:val="18"/>
        </w:rPr>
      </w:pPr>
    </w:p>
    <w:p w14:paraId="7A93EBB0" w14:textId="77777777" w:rsidR="00BF2741" w:rsidRDefault="008C2BD4" w:rsidP="00BB0D06">
      <w:pPr>
        <w:spacing w:line="360" w:lineRule="auto"/>
        <w:rPr>
          <w:szCs w:val="24"/>
        </w:rPr>
      </w:pPr>
      <w:r w:rsidRPr="00787335">
        <w:rPr>
          <w:szCs w:val="24"/>
        </w:rPr>
        <w:t>Vaccination status s</w:t>
      </w:r>
      <w:r>
        <w:rPr>
          <w:szCs w:val="24"/>
        </w:rPr>
        <w:t xml:space="preserve">hould </w:t>
      </w:r>
      <w:r w:rsidRPr="00787335">
        <w:rPr>
          <w:szCs w:val="24"/>
        </w:rPr>
        <w:t>be evaluated bef</w:t>
      </w:r>
      <w:r>
        <w:rPr>
          <w:szCs w:val="24"/>
        </w:rPr>
        <w:t xml:space="preserve">ore commencing treatment with most </w:t>
      </w:r>
      <w:r w:rsidRPr="00787335">
        <w:rPr>
          <w:szCs w:val="24"/>
        </w:rPr>
        <w:t>DMARD</w:t>
      </w:r>
      <w:r>
        <w:rPr>
          <w:szCs w:val="24"/>
        </w:rPr>
        <w:t>s (except HCQ, SSA and Gold), and especially bDMARDs</w:t>
      </w:r>
      <w:r w:rsidRPr="00787335">
        <w:rPr>
          <w:szCs w:val="24"/>
        </w:rPr>
        <w:t>.</w:t>
      </w:r>
      <w:r>
        <w:rPr>
          <w:szCs w:val="24"/>
        </w:rPr>
        <w:t xml:space="preserve"> </w:t>
      </w:r>
    </w:p>
    <w:p w14:paraId="52246DF5" w14:textId="77777777" w:rsidR="00BF2741" w:rsidRDefault="00BF2741" w:rsidP="00BB0D06">
      <w:pPr>
        <w:spacing w:line="360" w:lineRule="auto"/>
        <w:rPr>
          <w:szCs w:val="24"/>
        </w:rPr>
      </w:pPr>
    </w:p>
    <w:p w14:paraId="25712580" w14:textId="0F9D1A97" w:rsidR="00BF2741" w:rsidRDefault="00BF2741" w:rsidP="00BB0D06">
      <w:pPr>
        <w:spacing w:line="360" w:lineRule="auto"/>
        <w:rPr>
          <w:szCs w:val="24"/>
        </w:rPr>
      </w:pPr>
      <w:r>
        <w:rPr>
          <w:szCs w:val="24"/>
        </w:rPr>
        <w:t xml:space="preserve">Patients on </w:t>
      </w:r>
      <w:r w:rsidRPr="00BF2741">
        <w:rPr>
          <w:szCs w:val="24"/>
        </w:rPr>
        <w:t>stable long term low dose corticosteroid therapy (defined as up to 20mg prednisolone per day for more than 14 days in adult</w:t>
      </w:r>
      <w:r>
        <w:rPr>
          <w:szCs w:val="24"/>
        </w:rPr>
        <w:t xml:space="preserve">) </w:t>
      </w:r>
      <w:r w:rsidRPr="00BF2741">
        <w:rPr>
          <w:szCs w:val="24"/>
        </w:rPr>
        <w:t>either alone or in combination with low dose non-biological oral immune modulating drugs (e.g. meth</w:t>
      </w:r>
      <w:r>
        <w:rPr>
          <w:szCs w:val="24"/>
        </w:rPr>
        <w:t>otrexate 25mg per week in adult or</w:t>
      </w:r>
      <w:r w:rsidRPr="00BF2741">
        <w:rPr>
          <w:szCs w:val="24"/>
        </w:rPr>
        <w:t xml:space="preserve"> azathioprine 3.0mg/ kg/day</w:t>
      </w:r>
      <w:r>
        <w:rPr>
          <w:szCs w:val="24"/>
        </w:rPr>
        <w:t xml:space="preserve">) </w:t>
      </w:r>
      <w:r w:rsidRPr="00BF2741">
        <w:rPr>
          <w:b/>
          <w:szCs w:val="24"/>
          <w:u w:val="single"/>
        </w:rPr>
        <w:t>can</w:t>
      </w:r>
      <w:r w:rsidRPr="00BF2741">
        <w:rPr>
          <w:szCs w:val="24"/>
        </w:rPr>
        <w:t xml:space="preserve"> receive live vaccines.</w:t>
      </w:r>
    </w:p>
    <w:p w14:paraId="1911CA88" w14:textId="60123796" w:rsidR="00BF2741" w:rsidRDefault="00BF2741" w:rsidP="00BB0D06">
      <w:pPr>
        <w:spacing w:line="360" w:lineRule="auto"/>
        <w:rPr>
          <w:szCs w:val="24"/>
        </w:rPr>
      </w:pPr>
    </w:p>
    <w:p w14:paraId="35EB6237" w14:textId="347A32D8" w:rsidR="00BF2741" w:rsidRDefault="00BF2741" w:rsidP="00BF2741">
      <w:pPr>
        <w:spacing w:line="360" w:lineRule="auto"/>
        <w:rPr>
          <w:szCs w:val="24"/>
        </w:rPr>
      </w:pPr>
      <w:r w:rsidRPr="00BF2741">
        <w:rPr>
          <w:szCs w:val="24"/>
        </w:rPr>
        <w:t>Patients &gt;50 years should undergo vaccination against herpes zoster assuming there are no contraindications (e.g. treatment within the past 3 months with &gt;40 mg prednisolone per day for &gt;1week, &gt;20 mg prednisolone per day for &gt;14 days, MTX &gt;25 mg/week, AZA &gt;3.0 mg/kg/day). This should be administered preferably &gt;14 days before starting biologic therapy</w:t>
      </w:r>
      <w:r>
        <w:rPr>
          <w:szCs w:val="24"/>
        </w:rPr>
        <w:t>.</w:t>
      </w:r>
    </w:p>
    <w:p w14:paraId="4EFD5F4F" w14:textId="7992D2D6" w:rsidR="00BF2741" w:rsidRDefault="00BF2741" w:rsidP="00BF2741">
      <w:pPr>
        <w:spacing w:line="360" w:lineRule="auto"/>
        <w:rPr>
          <w:szCs w:val="24"/>
        </w:rPr>
      </w:pPr>
    </w:p>
    <w:p w14:paraId="10AF58CD" w14:textId="0F0B1AEE" w:rsidR="00BF2741" w:rsidRPr="00BF2741" w:rsidRDefault="00BF2741" w:rsidP="00BF2741">
      <w:pPr>
        <w:spacing w:line="360" w:lineRule="auto"/>
        <w:rPr>
          <w:szCs w:val="24"/>
        </w:rPr>
      </w:pPr>
      <w:r w:rsidRPr="00BF2741">
        <w:rPr>
          <w:szCs w:val="24"/>
        </w:rPr>
        <w:t>Patients who do not have a positive history of varicella zoster (chickenpox) infection should have a varicella zoster virus antibody test. If this is negative, and there are no contraindications (</w:t>
      </w:r>
      <w:r w:rsidR="00DE5FCA" w:rsidRPr="00BF2741">
        <w:rPr>
          <w:szCs w:val="24"/>
        </w:rPr>
        <w:t>treatment within the past 3 months with &gt;40 mg prednisolone per day for &gt;1week, &gt;20 mg prednisolone per day for &gt;14 days, MTX &gt;25 mg/week, AZA &gt;3.0 mg/kg/day</w:t>
      </w:r>
      <w:r w:rsidRPr="00BF2741">
        <w:rPr>
          <w:szCs w:val="24"/>
        </w:rPr>
        <w:t>), varicella zoster vaccination should be offered prior to biologic commencement</w:t>
      </w:r>
    </w:p>
    <w:p w14:paraId="54D0E558" w14:textId="77777777" w:rsidR="00BF2741" w:rsidRDefault="00BF2741" w:rsidP="00BB0D06">
      <w:pPr>
        <w:spacing w:line="360" w:lineRule="auto"/>
        <w:rPr>
          <w:szCs w:val="24"/>
        </w:rPr>
      </w:pPr>
    </w:p>
    <w:p w14:paraId="62D8DBCA" w14:textId="602732A1" w:rsidR="008C2BD4" w:rsidRDefault="008C2BD4" w:rsidP="00BB0D06">
      <w:pPr>
        <w:spacing w:line="360" w:lineRule="auto"/>
        <w:rPr>
          <w:szCs w:val="24"/>
        </w:rPr>
      </w:pPr>
      <w:r>
        <w:rPr>
          <w:szCs w:val="24"/>
        </w:rPr>
        <w:t xml:space="preserve">It should be noted that rarely the varicella-zoster vaccine virus has been transmitted from the vaccinated individual to close contacts. </w:t>
      </w:r>
    </w:p>
    <w:p w14:paraId="3474BE2F" w14:textId="77777777" w:rsidR="008C2BD4" w:rsidRDefault="008C2BD4" w:rsidP="00BB0D06">
      <w:pPr>
        <w:spacing w:line="360" w:lineRule="auto"/>
        <w:rPr>
          <w:szCs w:val="24"/>
        </w:rPr>
      </w:pPr>
    </w:p>
    <w:p w14:paraId="7DB0D6D4" w14:textId="77777777" w:rsidR="008C2BD4" w:rsidRPr="00787335" w:rsidRDefault="008C2BD4" w:rsidP="00BB0D06">
      <w:pPr>
        <w:spacing w:line="360" w:lineRule="auto"/>
        <w:rPr>
          <w:b/>
          <w:szCs w:val="24"/>
          <w:u w:val="single"/>
        </w:rPr>
      </w:pPr>
      <w:r>
        <w:rPr>
          <w:szCs w:val="24"/>
        </w:rPr>
        <w:t xml:space="preserve">There may be a number of women who have not received their MMR vaccine who wish to plan a family. The MMR vaccine is a live vaccine and is contra-indicated for most patients on </w:t>
      </w:r>
      <w:r>
        <w:rPr>
          <w:szCs w:val="24"/>
        </w:rPr>
        <w:lastRenderedPageBreak/>
        <w:t>sDMARD and/or bDMARD therapy.</w:t>
      </w:r>
      <w:r w:rsidRPr="00254B73">
        <w:rPr>
          <w:szCs w:val="24"/>
        </w:rPr>
        <w:t xml:space="preserve"> </w:t>
      </w:r>
      <w:r w:rsidRPr="00254B73">
        <w:rPr>
          <w:szCs w:val="24"/>
          <w:u w:val="single"/>
        </w:rPr>
        <w:t xml:space="preserve">The need for immunoglobulin should be considered in immunocompromised individuals exposed to varicella or measles </w:t>
      </w:r>
      <w:r>
        <w:rPr>
          <w:szCs w:val="24"/>
          <w:u w:val="single"/>
        </w:rPr>
        <w:t xml:space="preserve">who have not been vaccinated or pre-existing immunity cannot be verified </w:t>
      </w:r>
      <w:r w:rsidRPr="00254B73">
        <w:rPr>
          <w:szCs w:val="24"/>
          <w:u w:val="single"/>
        </w:rPr>
        <w:t>(Contact Rheumatology Service).</w:t>
      </w:r>
      <w:r>
        <w:rPr>
          <w:szCs w:val="24"/>
          <w:u w:val="single"/>
        </w:rPr>
        <w:t xml:space="preserve"> </w:t>
      </w:r>
      <w:r>
        <w:rPr>
          <w:szCs w:val="24"/>
        </w:rPr>
        <w:t xml:space="preserve"> Patients being commenced on synthetic or biologic DMARDs should be asked about potential travel abroad,</w:t>
      </w:r>
      <w:r w:rsidRPr="00787335">
        <w:rPr>
          <w:szCs w:val="24"/>
        </w:rPr>
        <w:t xml:space="preserve"> particularly</w:t>
      </w:r>
      <w:r>
        <w:rPr>
          <w:szCs w:val="24"/>
        </w:rPr>
        <w:t xml:space="preserve"> to places</w:t>
      </w:r>
      <w:r w:rsidRPr="00787335">
        <w:rPr>
          <w:szCs w:val="24"/>
        </w:rPr>
        <w:t xml:space="preserve"> where </w:t>
      </w:r>
      <w:r>
        <w:rPr>
          <w:szCs w:val="24"/>
        </w:rPr>
        <w:t>vaccination against</w:t>
      </w:r>
      <w:r w:rsidRPr="00787335">
        <w:rPr>
          <w:szCs w:val="24"/>
        </w:rPr>
        <w:t xml:space="preserve"> Yellow Fever</w:t>
      </w:r>
      <w:r>
        <w:rPr>
          <w:szCs w:val="24"/>
        </w:rPr>
        <w:t xml:space="preserve"> is required</w:t>
      </w:r>
      <w:r w:rsidRPr="00787335">
        <w:rPr>
          <w:szCs w:val="24"/>
        </w:rPr>
        <w:t xml:space="preserve">. </w:t>
      </w:r>
    </w:p>
    <w:p w14:paraId="042E8758" w14:textId="77777777" w:rsidR="008C2BD4" w:rsidRPr="005955CF" w:rsidRDefault="008C2BD4" w:rsidP="00BB0D06">
      <w:pPr>
        <w:spacing w:line="360" w:lineRule="auto"/>
        <w:rPr>
          <w:sz w:val="18"/>
          <w:szCs w:val="18"/>
        </w:rPr>
      </w:pPr>
    </w:p>
    <w:p w14:paraId="36A9EE3C" w14:textId="672CFFB9" w:rsidR="00CF02CD" w:rsidRDefault="008C2BD4" w:rsidP="00BB0D06">
      <w:pPr>
        <w:spacing w:line="360" w:lineRule="auto"/>
        <w:rPr>
          <w:szCs w:val="24"/>
        </w:rPr>
      </w:pPr>
      <w:r w:rsidRPr="00CF02CD">
        <w:rPr>
          <w:szCs w:val="24"/>
        </w:rPr>
        <w:t xml:space="preserve">The Department of Health Green </w:t>
      </w:r>
      <w:r w:rsidR="00CF02CD">
        <w:rPr>
          <w:szCs w:val="24"/>
        </w:rPr>
        <w:t xml:space="preserve">2017 </w:t>
      </w:r>
      <w:r w:rsidRPr="00CF02CD">
        <w:rPr>
          <w:szCs w:val="24"/>
        </w:rPr>
        <w:t>states that patients taking</w:t>
      </w:r>
      <w:r w:rsidR="00CF02CD">
        <w:rPr>
          <w:szCs w:val="24"/>
        </w:rPr>
        <w:t xml:space="preserve"> </w:t>
      </w:r>
      <w:r w:rsidRPr="00CF02CD">
        <w:rPr>
          <w:szCs w:val="24"/>
        </w:rPr>
        <w:t>immunosuppressive agents such as azathioprine</w:t>
      </w:r>
      <w:r w:rsidR="00CF02CD">
        <w:rPr>
          <w:szCs w:val="24"/>
        </w:rPr>
        <w:t xml:space="preserve"> &gt;3mg/kg</w:t>
      </w:r>
      <w:r w:rsidRPr="00CF02CD">
        <w:rPr>
          <w:szCs w:val="24"/>
        </w:rPr>
        <w:t>, cyclosporin, methotrexate</w:t>
      </w:r>
      <w:r w:rsidR="00CF02CD">
        <w:rPr>
          <w:szCs w:val="24"/>
        </w:rPr>
        <w:t xml:space="preserve"> &gt;25mg</w:t>
      </w:r>
      <w:r w:rsidRPr="00CF02CD">
        <w:rPr>
          <w:szCs w:val="24"/>
        </w:rPr>
        <w:t>,  leflunomide</w:t>
      </w:r>
      <w:r w:rsidR="00CF02CD">
        <w:rPr>
          <w:szCs w:val="24"/>
        </w:rPr>
        <w:t xml:space="preserve">, </w:t>
      </w:r>
      <w:r w:rsidR="00CF02CD" w:rsidRPr="00CF02CD">
        <w:rPr>
          <w:szCs w:val="24"/>
        </w:rPr>
        <w:t>high-dose corticosteroids</w:t>
      </w:r>
      <w:r w:rsidR="00CF02CD">
        <w:rPr>
          <w:szCs w:val="24"/>
        </w:rPr>
        <w:t xml:space="preserve"> (&gt;40mg prednisolone per day </w:t>
      </w:r>
      <w:r w:rsidR="00CF02CD" w:rsidRPr="00CF02CD">
        <w:rPr>
          <w:szCs w:val="24"/>
        </w:rPr>
        <w:t>for more than 1 week</w:t>
      </w:r>
      <w:r w:rsidRPr="00CF02CD">
        <w:rPr>
          <w:szCs w:val="24"/>
        </w:rPr>
        <w:t xml:space="preserve"> </w:t>
      </w:r>
      <w:r w:rsidR="00CF02CD">
        <w:rPr>
          <w:szCs w:val="24"/>
        </w:rPr>
        <w:t xml:space="preserve"> or </w:t>
      </w:r>
      <w:r w:rsidR="00CF02CD" w:rsidRPr="00CF02CD">
        <w:rPr>
          <w:szCs w:val="24"/>
        </w:rPr>
        <w:t>&gt;20mg prednisolone per day or 1mg/kg/day in children under 20kg) for more than 14 days</w:t>
      </w:r>
      <w:r w:rsidR="00CF02CD">
        <w:rPr>
          <w:szCs w:val="24"/>
        </w:rPr>
        <w:t>)</w:t>
      </w:r>
      <w:r w:rsidR="00CF02CD" w:rsidRPr="00CF02CD" w:rsidDel="00CF02CD">
        <w:rPr>
          <w:szCs w:val="24"/>
        </w:rPr>
        <w:t xml:space="preserve"> </w:t>
      </w:r>
      <w:r w:rsidRPr="00CF02CD">
        <w:rPr>
          <w:szCs w:val="24"/>
        </w:rPr>
        <w:t xml:space="preserve">should avoid live vaccines until at </w:t>
      </w:r>
      <w:r w:rsidRPr="00CF02CD">
        <w:rPr>
          <w:szCs w:val="24"/>
          <w:u w:val="single"/>
        </w:rPr>
        <w:t xml:space="preserve">least </w:t>
      </w:r>
      <w:r w:rsidR="00CF02CD" w:rsidRPr="00CF02CD">
        <w:rPr>
          <w:b/>
          <w:szCs w:val="24"/>
        </w:rPr>
        <w:t>three</w:t>
      </w:r>
      <w:r w:rsidR="00CF02CD" w:rsidRPr="00CF02CD">
        <w:rPr>
          <w:szCs w:val="24"/>
          <w:u w:val="single"/>
        </w:rPr>
        <w:t xml:space="preserve"> </w:t>
      </w:r>
      <w:r w:rsidRPr="00CF02CD">
        <w:rPr>
          <w:szCs w:val="24"/>
          <w:u w:val="single"/>
        </w:rPr>
        <w:t>months</w:t>
      </w:r>
      <w:r w:rsidRPr="00CF02CD">
        <w:rPr>
          <w:szCs w:val="24"/>
        </w:rPr>
        <w:t xml:space="preserve"> after stopping treatment with these agents. </w:t>
      </w:r>
    </w:p>
    <w:p w14:paraId="655EF89F" w14:textId="68D06BAF" w:rsidR="002F29C6" w:rsidRDefault="002F29C6" w:rsidP="00BB0D06">
      <w:pPr>
        <w:spacing w:line="360" w:lineRule="auto"/>
        <w:rPr>
          <w:szCs w:val="24"/>
        </w:rPr>
      </w:pPr>
    </w:p>
    <w:p w14:paraId="1EC006B9" w14:textId="676D013F" w:rsidR="002F29C6" w:rsidRDefault="002F29C6" w:rsidP="00BB0D06">
      <w:pPr>
        <w:spacing w:line="360" w:lineRule="auto"/>
        <w:rPr>
          <w:szCs w:val="24"/>
        </w:rPr>
      </w:pPr>
      <w:r>
        <w:rPr>
          <w:szCs w:val="24"/>
        </w:rPr>
        <w:t xml:space="preserve">Those receiving immunoglobulins </w:t>
      </w:r>
      <w:r w:rsidRPr="002F29C6">
        <w:rPr>
          <w:szCs w:val="24"/>
        </w:rPr>
        <w:t>should be given three months after an injection of immunoglobulin</w:t>
      </w:r>
      <w:r>
        <w:rPr>
          <w:szCs w:val="24"/>
        </w:rPr>
        <w:t xml:space="preserve"> (</w:t>
      </w:r>
      <w:r w:rsidRPr="002F29C6">
        <w:rPr>
          <w:szCs w:val="24"/>
        </w:rPr>
        <w:t>donor immunoglobulin</w:t>
      </w:r>
      <w:r>
        <w:rPr>
          <w:szCs w:val="24"/>
        </w:rPr>
        <w:t xml:space="preserve"> may h</w:t>
      </w:r>
      <w:r w:rsidRPr="002F29C6">
        <w:rPr>
          <w:szCs w:val="24"/>
        </w:rPr>
        <w:t xml:space="preserve">ave antibody to measles, varicella and other common viruses </w:t>
      </w:r>
      <w:r>
        <w:rPr>
          <w:szCs w:val="24"/>
        </w:rPr>
        <w:t xml:space="preserve">and this </w:t>
      </w:r>
      <w:r w:rsidRPr="002F29C6">
        <w:rPr>
          <w:szCs w:val="24"/>
        </w:rPr>
        <w:t>may prevent replication of the vaccine virus</w:t>
      </w:r>
      <w:r>
        <w:rPr>
          <w:szCs w:val="24"/>
        </w:rPr>
        <w:t>). Exceptions are rubella, BCG and Yellow Fever.</w:t>
      </w:r>
    </w:p>
    <w:p w14:paraId="31F6FDD1" w14:textId="263FB9AE" w:rsidR="00CF02CD" w:rsidRDefault="00CF02CD" w:rsidP="00CF02CD">
      <w:pPr>
        <w:spacing w:line="360" w:lineRule="auto"/>
        <w:rPr>
          <w:szCs w:val="24"/>
        </w:rPr>
      </w:pPr>
    </w:p>
    <w:p w14:paraId="0B57F0D6" w14:textId="354F0C7E" w:rsidR="00CF02CD" w:rsidRDefault="00CF02CD" w:rsidP="00CF02CD">
      <w:pPr>
        <w:spacing w:line="360" w:lineRule="auto"/>
        <w:rPr>
          <w:szCs w:val="24"/>
        </w:rPr>
      </w:pPr>
      <w:r>
        <w:rPr>
          <w:szCs w:val="24"/>
        </w:rPr>
        <w:t xml:space="preserve">Those receiving cyclophosphamide </w:t>
      </w:r>
      <w:r w:rsidRPr="00CF02CD">
        <w:rPr>
          <w:szCs w:val="24"/>
        </w:rPr>
        <w:t xml:space="preserve">should avoid live vaccines until at </w:t>
      </w:r>
      <w:r w:rsidRPr="00CF02CD">
        <w:rPr>
          <w:szCs w:val="24"/>
          <w:u w:val="single"/>
        </w:rPr>
        <w:t xml:space="preserve">least </w:t>
      </w:r>
      <w:r>
        <w:rPr>
          <w:b/>
          <w:szCs w:val="24"/>
        </w:rPr>
        <w:t xml:space="preserve">six </w:t>
      </w:r>
      <w:r w:rsidRPr="00CF02CD">
        <w:rPr>
          <w:szCs w:val="24"/>
          <w:u w:val="single"/>
        </w:rPr>
        <w:t xml:space="preserve"> months</w:t>
      </w:r>
      <w:r w:rsidRPr="00CF02CD">
        <w:rPr>
          <w:szCs w:val="24"/>
        </w:rPr>
        <w:t xml:space="preserve"> after stopping treatment with these agents.</w:t>
      </w:r>
    </w:p>
    <w:p w14:paraId="349F204E" w14:textId="77777777" w:rsidR="00CF02CD" w:rsidRDefault="00CF02CD" w:rsidP="00CF02CD">
      <w:pPr>
        <w:spacing w:line="360" w:lineRule="auto"/>
        <w:rPr>
          <w:szCs w:val="24"/>
        </w:rPr>
      </w:pPr>
    </w:p>
    <w:p w14:paraId="1A84103E" w14:textId="1ED1A24D" w:rsidR="00CF02CD" w:rsidRPr="00CF02CD" w:rsidRDefault="00CF02CD" w:rsidP="00CF02CD">
      <w:pPr>
        <w:spacing w:line="360" w:lineRule="auto"/>
        <w:rPr>
          <w:szCs w:val="24"/>
        </w:rPr>
      </w:pPr>
      <w:r>
        <w:rPr>
          <w:szCs w:val="24"/>
        </w:rPr>
        <w:t>T</w:t>
      </w:r>
      <w:r w:rsidRPr="00CF02CD">
        <w:rPr>
          <w:szCs w:val="24"/>
        </w:rPr>
        <w:t>hose who are receiving or have received immunosuppressive biological therapy (e.g. anti-TNF therapy and rituximab)</w:t>
      </w:r>
      <w:r>
        <w:rPr>
          <w:szCs w:val="24"/>
        </w:rPr>
        <w:t xml:space="preserve"> </w:t>
      </w:r>
      <w:r w:rsidR="00D055E8">
        <w:rPr>
          <w:szCs w:val="24"/>
        </w:rPr>
        <w:t>are advised to</w:t>
      </w:r>
      <w:r w:rsidRPr="00CF02CD">
        <w:rPr>
          <w:szCs w:val="24"/>
        </w:rPr>
        <w:t xml:space="preserve"> avoid live vaccines until at </w:t>
      </w:r>
      <w:r w:rsidRPr="00CF02CD">
        <w:rPr>
          <w:szCs w:val="24"/>
          <w:u w:val="single"/>
        </w:rPr>
        <w:t xml:space="preserve">least </w:t>
      </w:r>
      <w:r>
        <w:rPr>
          <w:b/>
          <w:szCs w:val="24"/>
        </w:rPr>
        <w:t>twelve</w:t>
      </w:r>
      <w:r w:rsidRPr="00CF02CD">
        <w:rPr>
          <w:szCs w:val="24"/>
          <w:u w:val="single"/>
        </w:rPr>
        <w:t xml:space="preserve"> months</w:t>
      </w:r>
      <w:r w:rsidRPr="00CF02CD">
        <w:rPr>
          <w:szCs w:val="24"/>
        </w:rPr>
        <w:t xml:space="preserve"> after stopping treatment with these agents.</w:t>
      </w:r>
    </w:p>
    <w:p w14:paraId="25286B93" w14:textId="71F5A812" w:rsidR="008C2BD4" w:rsidRDefault="008C2BD4" w:rsidP="00BB0D06">
      <w:pPr>
        <w:spacing w:line="360" w:lineRule="auto"/>
        <w:rPr>
          <w:szCs w:val="24"/>
        </w:rPr>
      </w:pPr>
      <w:r>
        <w:rPr>
          <w:szCs w:val="24"/>
        </w:rPr>
        <w:t>Where live vaccination is indicated in patients on biologic or synthetic DMARDs or have received high dose/extended courses of corticosteroids, specialist advice should be obtained from the Consultant Rheumatologist caring for the patient.</w:t>
      </w:r>
    </w:p>
    <w:p w14:paraId="1AB39AA1" w14:textId="77777777" w:rsidR="008C2BD4" w:rsidRDefault="008C2BD4" w:rsidP="00BB0D06">
      <w:pPr>
        <w:spacing w:line="360" w:lineRule="auto"/>
        <w:rPr>
          <w:szCs w:val="24"/>
        </w:rPr>
      </w:pPr>
    </w:p>
    <w:p w14:paraId="773FDD1D" w14:textId="77777777" w:rsidR="008C2BD4" w:rsidRDefault="008C2BD4" w:rsidP="008C2BD4">
      <w:pPr>
        <w:rPr>
          <w:szCs w:val="24"/>
        </w:rPr>
      </w:pPr>
    </w:p>
    <w:p w14:paraId="68129E70" w14:textId="77777777" w:rsidR="008C2BD4" w:rsidRDefault="008C2BD4" w:rsidP="008C2BD4">
      <w:pPr>
        <w:rPr>
          <w:szCs w:val="24"/>
        </w:rPr>
      </w:pPr>
    </w:p>
    <w:p w14:paraId="3D149FD0" w14:textId="77777777" w:rsidR="008C2BD4" w:rsidRPr="005955CF" w:rsidRDefault="008C2BD4" w:rsidP="008C2BD4">
      <w:pPr>
        <w:rPr>
          <w:b/>
          <w:szCs w:val="24"/>
        </w:rPr>
      </w:pPr>
      <w:r w:rsidRPr="005955CF">
        <w:rPr>
          <w:b/>
          <w:szCs w:val="24"/>
        </w:rPr>
        <w:t>Table 1 lists the current live vaccines available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C2BD4" w:rsidRPr="00787335" w14:paraId="53B446D7" w14:textId="77777777" w:rsidTr="00094335">
        <w:tc>
          <w:tcPr>
            <w:tcW w:w="4261" w:type="dxa"/>
            <w:shd w:val="clear" w:color="auto" w:fill="auto"/>
          </w:tcPr>
          <w:p w14:paraId="5B43CC72" w14:textId="77777777" w:rsidR="008C2BD4" w:rsidRPr="00787335" w:rsidRDefault="008C2BD4" w:rsidP="00094335">
            <w:pPr>
              <w:rPr>
                <w:b/>
                <w:szCs w:val="24"/>
              </w:rPr>
            </w:pPr>
            <w:r w:rsidRPr="00787335">
              <w:rPr>
                <w:b/>
                <w:szCs w:val="24"/>
              </w:rPr>
              <w:t>Vaccine</w:t>
            </w:r>
          </w:p>
        </w:tc>
        <w:tc>
          <w:tcPr>
            <w:tcW w:w="4261" w:type="dxa"/>
            <w:shd w:val="clear" w:color="auto" w:fill="auto"/>
          </w:tcPr>
          <w:p w14:paraId="5307221B" w14:textId="77777777" w:rsidR="008C2BD4" w:rsidRPr="00787335" w:rsidRDefault="008C2BD4" w:rsidP="00094335">
            <w:pPr>
              <w:rPr>
                <w:b/>
                <w:szCs w:val="24"/>
              </w:rPr>
            </w:pPr>
            <w:r w:rsidRPr="00787335">
              <w:rPr>
                <w:b/>
                <w:szCs w:val="24"/>
              </w:rPr>
              <w:t>Brand Name</w:t>
            </w:r>
          </w:p>
        </w:tc>
      </w:tr>
      <w:tr w:rsidR="008C2BD4" w:rsidRPr="00787335" w14:paraId="44DC3D4F" w14:textId="77777777" w:rsidTr="00094335">
        <w:tc>
          <w:tcPr>
            <w:tcW w:w="4261" w:type="dxa"/>
            <w:shd w:val="clear" w:color="auto" w:fill="auto"/>
          </w:tcPr>
          <w:p w14:paraId="460E8890" w14:textId="77777777" w:rsidR="008C2BD4" w:rsidRPr="00787335" w:rsidRDefault="008C2BD4" w:rsidP="00094335">
            <w:pPr>
              <w:rPr>
                <w:szCs w:val="24"/>
              </w:rPr>
            </w:pPr>
            <w:r w:rsidRPr="00787335">
              <w:rPr>
                <w:szCs w:val="24"/>
              </w:rPr>
              <w:t>BCG</w:t>
            </w:r>
            <w:r>
              <w:rPr>
                <w:szCs w:val="24"/>
              </w:rPr>
              <w:t xml:space="preserve"> (including intravesicular use)</w:t>
            </w:r>
          </w:p>
        </w:tc>
        <w:tc>
          <w:tcPr>
            <w:tcW w:w="4261" w:type="dxa"/>
            <w:shd w:val="clear" w:color="auto" w:fill="auto"/>
          </w:tcPr>
          <w:p w14:paraId="3699C9B7" w14:textId="77777777" w:rsidR="008C2BD4" w:rsidRPr="00787335" w:rsidRDefault="008C2BD4" w:rsidP="00094335">
            <w:pPr>
              <w:rPr>
                <w:szCs w:val="24"/>
              </w:rPr>
            </w:pPr>
            <w:r w:rsidRPr="00787335">
              <w:rPr>
                <w:szCs w:val="24"/>
              </w:rPr>
              <w:t>Bacillus Calmette-Guerin Vaccine</w:t>
            </w:r>
          </w:p>
        </w:tc>
      </w:tr>
      <w:tr w:rsidR="008C2BD4" w:rsidRPr="00787335" w14:paraId="4D2A2E49" w14:textId="77777777" w:rsidTr="00094335">
        <w:tc>
          <w:tcPr>
            <w:tcW w:w="4261" w:type="dxa"/>
            <w:shd w:val="clear" w:color="auto" w:fill="auto"/>
          </w:tcPr>
          <w:p w14:paraId="5028D2A5" w14:textId="77777777" w:rsidR="008C2BD4" w:rsidRPr="00787335" w:rsidRDefault="008C2BD4" w:rsidP="00094335">
            <w:pPr>
              <w:rPr>
                <w:szCs w:val="24"/>
              </w:rPr>
            </w:pPr>
            <w:r>
              <w:rPr>
                <w:szCs w:val="24"/>
              </w:rPr>
              <w:t>Nasal Only - Influenza</w:t>
            </w:r>
          </w:p>
        </w:tc>
        <w:tc>
          <w:tcPr>
            <w:tcW w:w="4261" w:type="dxa"/>
            <w:shd w:val="clear" w:color="auto" w:fill="auto"/>
          </w:tcPr>
          <w:p w14:paraId="4925E0B4" w14:textId="77777777" w:rsidR="008C2BD4" w:rsidRPr="00787335" w:rsidRDefault="008C2BD4" w:rsidP="00094335">
            <w:pPr>
              <w:rPr>
                <w:szCs w:val="24"/>
              </w:rPr>
            </w:pPr>
            <w:r>
              <w:rPr>
                <w:szCs w:val="24"/>
              </w:rPr>
              <w:t>Note the nasal seasonal influenza vaccine is live - Fluenz®</w:t>
            </w:r>
          </w:p>
        </w:tc>
      </w:tr>
      <w:tr w:rsidR="008C2BD4" w:rsidRPr="00787335" w14:paraId="71CD5882" w14:textId="77777777" w:rsidTr="00094335">
        <w:tc>
          <w:tcPr>
            <w:tcW w:w="4261" w:type="dxa"/>
            <w:shd w:val="clear" w:color="auto" w:fill="auto"/>
          </w:tcPr>
          <w:p w14:paraId="663E78A4" w14:textId="77777777" w:rsidR="008C2BD4" w:rsidRPr="00787335" w:rsidRDefault="008C2BD4" w:rsidP="00094335">
            <w:pPr>
              <w:rPr>
                <w:szCs w:val="24"/>
              </w:rPr>
            </w:pPr>
            <w:r w:rsidRPr="00787335">
              <w:rPr>
                <w:szCs w:val="24"/>
              </w:rPr>
              <w:t>Measles, Mumps and Rubella</w:t>
            </w:r>
          </w:p>
          <w:p w14:paraId="05A7086B" w14:textId="77777777" w:rsidR="008C2BD4" w:rsidRPr="00787335" w:rsidRDefault="008C2BD4" w:rsidP="00094335">
            <w:pPr>
              <w:rPr>
                <w:szCs w:val="24"/>
              </w:rPr>
            </w:pPr>
            <w:r w:rsidRPr="00787335">
              <w:rPr>
                <w:szCs w:val="24"/>
              </w:rPr>
              <w:lastRenderedPageBreak/>
              <w:t>Combined Vaccine (MMR)</w:t>
            </w:r>
          </w:p>
        </w:tc>
        <w:tc>
          <w:tcPr>
            <w:tcW w:w="4261" w:type="dxa"/>
            <w:shd w:val="clear" w:color="auto" w:fill="auto"/>
          </w:tcPr>
          <w:p w14:paraId="73FAA65E" w14:textId="77777777" w:rsidR="008C2BD4" w:rsidRPr="00787335" w:rsidRDefault="008C2BD4" w:rsidP="00094335">
            <w:pPr>
              <w:rPr>
                <w:szCs w:val="24"/>
              </w:rPr>
            </w:pPr>
            <w:r w:rsidRPr="00787335">
              <w:rPr>
                <w:szCs w:val="24"/>
              </w:rPr>
              <w:lastRenderedPageBreak/>
              <w:t>MMRvaxPRO®, Priorix®</w:t>
            </w:r>
          </w:p>
        </w:tc>
      </w:tr>
      <w:tr w:rsidR="008C2BD4" w:rsidRPr="00787335" w14:paraId="58F44B28" w14:textId="77777777" w:rsidTr="00094335">
        <w:tc>
          <w:tcPr>
            <w:tcW w:w="4261" w:type="dxa"/>
            <w:shd w:val="clear" w:color="auto" w:fill="auto"/>
          </w:tcPr>
          <w:p w14:paraId="6DC976E0" w14:textId="77777777" w:rsidR="008C2BD4" w:rsidRPr="00787335" w:rsidRDefault="008C2BD4" w:rsidP="00094335">
            <w:pPr>
              <w:rPr>
                <w:szCs w:val="24"/>
              </w:rPr>
            </w:pPr>
            <w:r w:rsidRPr="00787335">
              <w:rPr>
                <w:szCs w:val="24"/>
              </w:rPr>
              <w:lastRenderedPageBreak/>
              <w:t>Poliomyeltis (</w:t>
            </w:r>
            <w:r w:rsidRPr="00787335">
              <w:rPr>
                <w:szCs w:val="24"/>
                <w:u w:val="single"/>
              </w:rPr>
              <w:t>Live oral vaccine</w:t>
            </w:r>
            <w:r w:rsidRPr="00787335">
              <w:rPr>
                <w:szCs w:val="24"/>
              </w:rPr>
              <w:t>)</w:t>
            </w:r>
          </w:p>
        </w:tc>
        <w:tc>
          <w:tcPr>
            <w:tcW w:w="4261" w:type="dxa"/>
            <w:shd w:val="clear" w:color="auto" w:fill="auto"/>
          </w:tcPr>
          <w:p w14:paraId="64E24EC2" w14:textId="77777777" w:rsidR="008C2BD4" w:rsidRPr="00787335" w:rsidRDefault="008C2BD4" w:rsidP="00094335">
            <w:pPr>
              <w:rPr>
                <w:szCs w:val="24"/>
              </w:rPr>
            </w:pPr>
            <w:r w:rsidRPr="00787335">
              <w:rPr>
                <w:szCs w:val="24"/>
              </w:rPr>
              <w:t>Poliomyeltis Vaccine, live (oral) GSK OPV</w:t>
            </w:r>
          </w:p>
        </w:tc>
      </w:tr>
      <w:tr w:rsidR="008C2BD4" w:rsidRPr="00787335" w14:paraId="60B1C71B" w14:textId="77777777" w:rsidTr="00094335">
        <w:tc>
          <w:tcPr>
            <w:tcW w:w="4261" w:type="dxa"/>
            <w:shd w:val="clear" w:color="auto" w:fill="auto"/>
          </w:tcPr>
          <w:p w14:paraId="2EF41FD7" w14:textId="77777777" w:rsidR="008C2BD4" w:rsidRPr="00787335" w:rsidRDefault="008C2BD4" w:rsidP="00094335">
            <w:pPr>
              <w:rPr>
                <w:szCs w:val="24"/>
              </w:rPr>
            </w:pPr>
            <w:r w:rsidRPr="00787335">
              <w:rPr>
                <w:szCs w:val="24"/>
              </w:rPr>
              <w:t xml:space="preserve">Rotavirus </w:t>
            </w:r>
            <w:r w:rsidRPr="00787335">
              <w:rPr>
                <w:szCs w:val="24"/>
                <w:u w:val="single"/>
              </w:rPr>
              <w:t>(Live oral vaccine</w:t>
            </w:r>
            <w:r w:rsidRPr="00787335">
              <w:rPr>
                <w:szCs w:val="24"/>
              </w:rPr>
              <w:t>)</w:t>
            </w:r>
          </w:p>
        </w:tc>
        <w:tc>
          <w:tcPr>
            <w:tcW w:w="4261" w:type="dxa"/>
            <w:shd w:val="clear" w:color="auto" w:fill="auto"/>
          </w:tcPr>
          <w:p w14:paraId="66763A91" w14:textId="77777777" w:rsidR="008C2BD4" w:rsidRPr="00787335" w:rsidRDefault="008C2BD4" w:rsidP="00094335">
            <w:pPr>
              <w:rPr>
                <w:szCs w:val="24"/>
              </w:rPr>
            </w:pPr>
            <w:r w:rsidRPr="00787335">
              <w:rPr>
                <w:szCs w:val="24"/>
              </w:rPr>
              <w:t>Rotarix®</w:t>
            </w:r>
          </w:p>
        </w:tc>
      </w:tr>
      <w:tr w:rsidR="008C2BD4" w:rsidRPr="00787335" w14:paraId="0D34E463" w14:textId="77777777" w:rsidTr="00094335">
        <w:tc>
          <w:tcPr>
            <w:tcW w:w="4261" w:type="dxa"/>
            <w:shd w:val="clear" w:color="auto" w:fill="auto"/>
          </w:tcPr>
          <w:p w14:paraId="1F304F5F" w14:textId="77777777" w:rsidR="008C2BD4" w:rsidRPr="00787335" w:rsidRDefault="008C2BD4" w:rsidP="00094335">
            <w:pPr>
              <w:rPr>
                <w:szCs w:val="24"/>
              </w:rPr>
            </w:pPr>
            <w:r w:rsidRPr="00787335">
              <w:rPr>
                <w:szCs w:val="24"/>
              </w:rPr>
              <w:t xml:space="preserve">Typhoid </w:t>
            </w:r>
            <w:r w:rsidRPr="00787335">
              <w:rPr>
                <w:szCs w:val="24"/>
                <w:u w:val="single"/>
              </w:rPr>
              <w:t>(Live oral vaccine)</w:t>
            </w:r>
          </w:p>
        </w:tc>
        <w:tc>
          <w:tcPr>
            <w:tcW w:w="4261" w:type="dxa"/>
            <w:shd w:val="clear" w:color="auto" w:fill="auto"/>
          </w:tcPr>
          <w:p w14:paraId="1B61ACF5" w14:textId="77777777" w:rsidR="008C2BD4" w:rsidRPr="00787335" w:rsidRDefault="008C2BD4" w:rsidP="00094335">
            <w:pPr>
              <w:rPr>
                <w:szCs w:val="24"/>
              </w:rPr>
            </w:pPr>
            <w:r w:rsidRPr="00787335">
              <w:rPr>
                <w:szCs w:val="24"/>
              </w:rPr>
              <w:t>Vivotif®</w:t>
            </w:r>
          </w:p>
        </w:tc>
      </w:tr>
      <w:tr w:rsidR="008C2BD4" w:rsidRPr="00787335" w14:paraId="4B4E0E53" w14:textId="77777777" w:rsidTr="00094335">
        <w:tc>
          <w:tcPr>
            <w:tcW w:w="4261" w:type="dxa"/>
            <w:shd w:val="clear" w:color="auto" w:fill="auto"/>
          </w:tcPr>
          <w:p w14:paraId="412A51FA" w14:textId="77777777" w:rsidR="008C2BD4" w:rsidRPr="00787335" w:rsidRDefault="008C2BD4" w:rsidP="00094335">
            <w:pPr>
              <w:rPr>
                <w:szCs w:val="24"/>
              </w:rPr>
            </w:pPr>
            <w:r w:rsidRPr="00787335">
              <w:rPr>
                <w:szCs w:val="24"/>
              </w:rPr>
              <w:t>Varicella-Zoster Vaccine</w:t>
            </w:r>
          </w:p>
        </w:tc>
        <w:tc>
          <w:tcPr>
            <w:tcW w:w="4261" w:type="dxa"/>
            <w:shd w:val="clear" w:color="auto" w:fill="auto"/>
          </w:tcPr>
          <w:p w14:paraId="0F97BD83" w14:textId="77777777" w:rsidR="008C2BD4" w:rsidRPr="00787335" w:rsidRDefault="008C2BD4" w:rsidP="00094335">
            <w:pPr>
              <w:rPr>
                <w:szCs w:val="24"/>
              </w:rPr>
            </w:pPr>
            <w:r w:rsidRPr="00787335">
              <w:rPr>
                <w:szCs w:val="24"/>
              </w:rPr>
              <w:t>Varilrix®, Varivax®</w:t>
            </w:r>
            <w:r>
              <w:rPr>
                <w:szCs w:val="24"/>
              </w:rPr>
              <w:t>, Zostavax®</w:t>
            </w:r>
          </w:p>
        </w:tc>
      </w:tr>
      <w:tr w:rsidR="008C2BD4" w:rsidRPr="00787335" w14:paraId="3CE375EF" w14:textId="77777777" w:rsidTr="00094335">
        <w:tc>
          <w:tcPr>
            <w:tcW w:w="4261" w:type="dxa"/>
            <w:shd w:val="clear" w:color="auto" w:fill="auto"/>
          </w:tcPr>
          <w:p w14:paraId="0C8867CA" w14:textId="77777777" w:rsidR="008C2BD4" w:rsidRPr="00787335" w:rsidRDefault="008C2BD4" w:rsidP="00094335">
            <w:pPr>
              <w:rPr>
                <w:szCs w:val="24"/>
              </w:rPr>
            </w:pPr>
            <w:r w:rsidRPr="00787335">
              <w:rPr>
                <w:szCs w:val="24"/>
              </w:rPr>
              <w:t xml:space="preserve">Yellow Fever </w:t>
            </w:r>
          </w:p>
        </w:tc>
        <w:tc>
          <w:tcPr>
            <w:tcW w:w="4261" w:type="dxa"/>
            <w:shd w:val="clear" w:color="auto" w:fill="auto"/>
          </w:tcPr>
          <w:p w14:paraId="6802577E" w14:textId="77777777" w:rsidR="008C2BD4" w:rsidRPr="00787335" w:rsidRDefault="008C2BD4" w:rsidP="00094335">
            <w:pPr>
              <w:rPr>
                <w:szCs w:val="24"/>
              </w:rPr>
            </w:pPr>
            <w:r w:rsidRPr="00787335">
              <w:rPr>
                <w:szCs w:val="24"/>
              </w:rPr>
              <w:t>Stamaril®</w:t>
            </w:r>
          </w:p>
        </w:tc>
      </w:tr>
    </w:tbl>
    <w:p w14:paraId="7D3020A5" w14:textId="77777777" w:rsidR="008C2BD4" w:rsidRDefault="008C2BD4" w:rsidP="008C2BD4">
      <w:pPr>
        <w:rPr>
          <w:b/>
          <w:szCs w:val="24"/>
          <w:u w:val="single"/>
        </w:rPr>
      </w:pPr>
    </w:p>
    <w:p w14:paraId="3A615D71" w14:textId="77777777" w:rsidR="008C2BD4" w:rsidRPr="00C57126" w:rsidRDefault="008C2BD4" w:rsidP="00BB0D06">
      <w:pPr>
        <w:spacing w:line="360" w:lineRule="auto"/>
        <w:rPr>
          <w:b/>
          <w:szCs w:val="24"/>
          <w:u w:val="single"/>
        </w:rPr>
      </w:pPr>
      <w:r w:rsidRPr="00C57126">
        <w:rPr>
          <w:b/>
          <w:szCs w:val="24"/>
          <w:u w:val="single"/>
        </w:rPr>
        <w:t>Non-live Vaccines</w:t>
      </w:r>
    </w:p>
    <w:p w14:paraId="444A897F" w14:textId="77777777" w:rsidR="008C2BD4" w:rsidRPr="00787335" w:rsidRDefault="008C2BD4" w:rsidP="00BB0D06">
      <w:pPr>
        <w:spacing w:line="360" w:lineRule="auto"/>
        <w:rPr>
          <w:b/>
          <w:szCs w:val="24"/>
        </w:rPr>
      </w:pPr>
      <w:r w:rsidRPr="00787335">
        <w:rPr>
          <w:b/>
          <w:szCs w:val="24"/>
        </w:rPr>
        <w:t>Note : Inactivated vaccines cannot replicate and so may be administered to immunosuppressed individuals, although they may elicit a lower response than</w:t>
      </w:r>
      <w:r>
        <w:rPr>
          <w:b/>
          <w:szCs w:val="24"/>
        </w:rPr>
        <w:t xml:space="preserve"> in immunocompetent individuals</w:t>
      </w:r>
      <w:r w:rsidRPr="00787335">
        <w:rPr>
          <w:b/>
          <w:szCs w:val="24"/>
        </w:rPr>
        <w:t>.</w:t>
      </w:r>
    </w:p>
    <w:p w14:paraId="7A89B7FB" w14:textId="77777777" w:rsidR="008C2BD4" w:rsidRDefault="008C2BD4" w:rsidP="008C2BD4">
      <w:pPr>
        <w:rPr>
          <w:b/>
          <w:szCs w:val="24"/>
        </w:rPr>
      </w:pPr>
    </w:p>
    <w:p w14:paraId="10641923" w14:textId="77777777" w:rsidR="008C2BD4" w:rsidRPr="00787335" w:rsidRDefault="008C2BD4" w:rsidP="008C2BD4">
      <w:pPr>
        <w:rPr>
          <w:b/>
          <w:szCs w:val="24"/>
        </w:rPr>
      </w:pPr>
    </w:p>
    <w:p w14:paraId="6B251E6B" w14:textId="77777777" w:rsidR="008C2BD4" w:rsidRPr="00787335" w:rsidRDefault="008C2BD4" w:rsidP="008C2BD4">
      <w:pPr>
        <w:rPr>
          <w:b/>
          <w:szCs w:val="24"/>
        </w:rPr>
      </w:pPr>
      <w:r w:rsidRPr="00787335">
        <w:rPr>
          <w:b/>
          <w:szCs w:val="24"/>
        </w:rPr>
        <w:t>Table 2, Non-live vaccines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C2BD4" w:rsidRPr="00787335" w14:paraId="1350C66B" w14:textId="77777777" w:rsidTr="00094335">
        <w:tc>
          <w:tcPr>
            <w:tcW w:w="4261" w:type="dxa"/>
            <w:shd w:val="clear" w:color="auto" w:fill="auto"/>
          </w:tcPr>
          <w:p w14:paraId="0A0CCC63" w14:textId="77777777" w:rsidR="008C2BD4" w:rsidRPr="00787335" w:rsidRDefault="008C2BD4" w:rsidP="00094335">
            <w:pPr>
              <w:rPr>
                <w:b/>
                <w:szCs w:val="24"/>
              </w:rPr>
            </w:pPr>
            <w:r w:rsidRPr="00787335">
              <w:rPr>
                <w:b/>
                <w:szCs w:val="24"/>
              </w:rPr>
              <w:t>Vaccine</w:t>
            </w:r>
          </w:p>
        </w:tc>
        <w:tc>
          <w:tcPr>
            <w:tcW w:w="4261" w:type="dxa"/>
            <w:shd w:val="clear" w:color="auto" w:fill="auto"/>
          </w:tcPr>
          <w:p w14:paraId="28099974" w14:textId="77777777" w:rsidR="008C2BD4" w:rsidRPr="00787335" w:rsidRDefault="008C2BD4" w:rsidP="00094335">
            <w:pPr>
              <w:rPr>
                <w:b/>
                <w:szCs w:val="24"/>
              </w:rPr>
            </w:pPr>
            <w:r w:rsidRPr="00787335">
              <w:rPr>
                <w:b/>
                <w:szCs w:val="24"/>
              </w:rPr>
              <w:t>Brand Name</w:t>
            </w:r>
          </w:p>
        </w:tc>
      </w:tr>
      <w:tr w:rsidR="008C2BD4" w:rsidRPr="00787335" w14:paraId="0BDE3BEA" w14:textId="77777777" w:rsidTr="00094335">
        <w:tc>
          <w:tcPr>
            <w:tcW w:w="4261" w:type="dxa"/>
            <w:shd w:val="clear" w:color="auto" w:fill="auto"/>
          </w:tcPr>
          <w:p w14:paraId="1CD8B118" w14:textId="77777777" w:rsidR="008C2BD4" w:rsidRPr="00787335" w:rsidRDefault="008C2BD4" w:rsidP="00094335">
            <w:pPr>
              <w:rPr>
                <w:szCs w:val="24"/>
              </w:rPr>
            </w:pPr>
            <w:r w:rsidRPr="00787335">
              <w:rPr>
                <w:szCs w:val="24"/>
              </w:rPr>
              <w:t xml:space="preserve">Cholera Vaccine </w:t>
            </w:r>
            <w:r w:rsidRPr="00787335">
              <w:rPr>
                <w:szCs w:val="24"/>
                <w:u w:val="single"/>
              </w:rPr>
              <w:t>(Oral preparation only)</w:t>
            </w:r>
          </w:p>
        </w:tc>
        <w:tc>
          <w:tcPr>
            <w:tcW w:w="4261" w:type="dxa"/>
            <w:shd w:val="clear" w:color="auto" w:fill="auto"/>
          </w:tcPr>
          <w:p w14:paraId="400E9E5D" w14:textId="77777777" w:rsidR="008C2BD4" w:rsidRPr="00787335" w:rsidRDefault="008C2BD4" w:rsidP="00094335">
            <w:pPr>
              <w:rPr>
                <w:szCs w:val="24"/>
              </w:rPr>
            </w:pPr>
            <w:r w:rsidRPr="00787335">
              <w:rPr>
                <w:szCs w:val="24"/>
              </w:rPr>
              <w:t>Dukural®</w:t>
            </w:r>
          </w:p>
        </w:tc>
      </w:tr>
      <w:tr w:rsidR="008C2BD4" w:rsidRPr="00787335" w14:paraId="047C8AFC" w14:textId="77777777" w:rsidTr="00094335">
        <w:tc>
          <w:tcPr>
            <w:tcW w:w="4261" w:type="dxa"/>
            <w:shd w:val="clear" w:color="auto" w:fill="auto"/>
          </w:tcPr>
          <w:p w14:paraId="67AD4996" w14:textId="77777777" w:rsidR="008C2BD4" w:rsidRPr="00787335" w:rsidRDefault="008C2BD4" w:rsidP="00094335">
            <w:pPr>
              <w:rPr>
                <w:szCs w:val="24"/>
              </w:rPr>
            </w:pPr>
            <w:r w:rsidRPr="00787335">
              <w:rPr>
                <w:szCs w:val="24"/>
              </w:rPr>
              <w:t>Diptheria</w:t>
            </w:r>
          </w:p>
        </w:tc>
        <w:tc>
          <w:tcPr>
            <w:tcW w:w="4261" w:type="dxa"/>
            <w:shd w:val="clear" w:color="auto" w:fill="auto"/>
          </w:tcPr>
          <w:p w14:paraId="7DECE790" w14:textId="77777777" w:rsidR="008C2BD4" w:rsidRPr="00787335" w:rsidRDefault="008C2BD4" w:rsidP="00094335">
            <w:pPr>
              <w:rPr>
                <w:szCs w:val="24"/>
              </w:rPr>
            </w:pPr>
            <w:r w:rsidRPr="00787335">
              <w:rPr>
                <w:szCs w:val="24"/>
              </w:rPr>
              <w:t>Given as combined adsorbed diphtheria (low dose), tetanus and inactivated poliomyelitis preparation</w:t>
            </w:r>
            <w:r>
              <w:rPr>
                <w:szCs w:val="24"/>
              </w:rPr>
              <w:t xml:space="preserve"> (Revaxis®)</w:t>
            </w:r>
            <w:r w:rsidRPr="00787335">
              <w:rPr>
                <w:szCs w:val="24"/>
              </w:rPr>
              <w:t>.</w:t>
            </w:r>
          </w:p>
        </w:tc>
      </w:tr>
      <w:tr w:rsidR="008C2BD4" w:rsidRPr="00787335" w14:paraId="6718EEE4" w14:textId="77777777" w:rsidTr="00094335">
        <w:tc>
          <w:tcPr>
            <w:tcW w:w="4261" w:type="dxa"/>
            <w:shd w:val="clear" w:color="auto" w:fill="auto"/>
          </w:tcPr>
          <w:p w14:paraId="38EC88D7" w14:textId="77777777" w:rsidR="008C2BD4" w:rsidRPr="00787335" w:rsidRDefault="008C2BD4" w:rsidP="00094335">
            <w:pPr>
              <w:rPr>
                <w:szCs w:val="24"/>
              </w:rPr>
            </w:pPr>
            <w:r w:rsidRPr="00787335">
              <w:rPr>
                <w:szCs w:val="24"/>
              </w:rPr>
              <w:t>Hepatitis A</w:t>
            </w:r>
          </w:p>
        </w:tc>
        <w:tc>
          <w:tcPr>
            <w:tcW w:w="4261" w:type="dxa"/>
            <w:shd w:val="clear" w:color="auto" w:fill="auto"/>
          </w:tcPr>
          <w:p w14:paraId="654A68C9" w14:textId="77777777" w:rsidR="008C2BD4" w:rsidRDefault="008C2BD4" w:rsidP="00094335">
            <w:pPr>
              <w:rPr>
                <w:szCs w:val="24"/>
              </w:rPr>
            </w:pPr>
            <w:r w:rsidRPr="00787335">
              <w:rPr>
                <w:szCs w:val="24"/>
              </w:rPr>
              <w:t>Avaxim®, Epaxal®, Havrix Monodose®, Vaqta Paediatric®</w:t>
            </w:r>
          </w:p>
          <w:p w14:paraId="72A2C833" w14:textId="77777777" w:rsidR="008C2BD4" w:rsidRDefault="008C2BD4" w:rsidP="00094335">
            <w:pPr>
              <w:rPr>
                <w:szCs w:val="24"/>
              </w:rPr>
            </w:pPr>
            <w:r>
              <w:rPr>
                <w:szCs w:val="24"/>
              </w:rPr>
              <w:t>With Hepatitis B - Ambirix® and Twinrix®</w:t>
            </w:r>
          </w:p>
          <w:p w14:paraId="69E73CEB" w14:textId="77777777" w:rsidR="008C2BD4" w:rsidRPr="00787335" w:rsidRDefault="008C2BD4" w:rsidP="00094335">
            <w:pPr>
              <w:rPr>
                <w:szCs w:val="24"/>
              </w:rPr>
            </w:pPr>
            <w:r>
              <w:rPr>
                <w:szCs w:val="24"/>
              </w:rPr>
              <w:t>With typhoid - Hepatyrix® and ViATIM®</w:t>
            </w:r>
          </w:p>
        </w:tc>
      </w:tr>
      <w:tr w:rsidR="008C2BD4" w:rsidRPr="00787335" w14:paraId="2C57AD82" w14:textId="77777777" w:rsidTr="00094335">
        <w:tc>
          <w:tcPr>
            <w:tcW w:w="4261" w:type="dxa"/>
            <w:shd w:val="clear" w:color="auto" w:fill="auto"/>
          </w:tcPr>
          <w:p w14:paraId="429193C5" w14:textId="77777777" w:rsidR="008C2BD4" w:rsidRPr="00787335" w:rsidRDefault="008C2BD4" w:rsidP="00094335">
            <w:pPr>
              <w:rPr>
                <w:szCs w:val="24"/>
              </w:rPr>
            </w:pPr>
            <w:r w:rsidRPr="00787335">
              <w:rPr>
                <w:szCs w:val="24"/>
              </w:rPr>
              <w:t>Hepatitis B</w:t>
            </w:r>
          </w:p>
        </w:tc>
        <w:tc>
          <w:tcPr>
            <w:tcW w:w="4261" w:type="dxa"/>
            <w:shd w:val="clear" w:color="auto" w:fill="auto"/>
          </w:tcPr>
          <w:p w14:paraId="65DEB877" w14:textId="77777777" w:rsidR="008C2BD4" w:rsidRPr="00787335" w:rsidRDefault="008C2BD4" w:rsidP="00094335">
            <w:pPr>
              <w:rPr>
                <w:szCs w:val="24"/>
              </w:rPr>
            </w:pPr>
            <w:r w:rsidRPr="00787335">
              <w:rPr>
                <w:szCs w:val="24"/>
              </w:rPr>
              <w:t>Engerix®, Fendrix®, HBvaxPRO®</w:t>
            </w:r>
          </w:p>
        </w:tc>
      </w:tr>
      <w:tr w:rsidR="008C2BD4" w:rsidRPr="00787335" w14:paraId="5D2BA6F8" w14:textId="77777777" w:rsidTr="00094335">
        <w:tc>
          <w:tcPr>
            <w:tcW w:w="4261" w:type="dxa"/>
            <w:shd w:val="clear" w:color="auto" w:fill="auto"/>
          </w:tcPr>
          <w:p w14:paraId="3AA82CDE" w14:textId="77777777" w:rsidR="008C2BD4" w:rsidRPr="00787335" w:rsidRDefault="008C2BD4" w:rsidP="00094335">
            <w:pPr>
              <w:rPr>
                <w:szCs w:val="24"/>
              </w:rPr>
            </w:pPr>
            <w:r w:rsidRPr="00787335">
              <w:rPr>
                <w:szCs w:val="24"/>
              </w:rPr>
              <w:t>Hepatitis A and B Combined</w:t>
            </w:r>
          </w:p>
        </w:tc>
        <w:tc>
          <w:tcPr>
            <w:tcW w:w="4261" w:type="dxa"/>
            <w:shd w:val="clear" w:color="auto" w:fill="auto"/>
          </w:tcPr>
          <w:p w14:paraId="60CE15EA" w14:textId="77777777" w:rsidR="008C2BD4" w:rsidRPr="00787335" w:rsidRDefault="008C2BD4" w:rsidP="00094335">
            <w:pPr>
              <w:rPr>
                <w:szCs w:val="24"/>
              </w:rPr>
            </w:pPr>
            <w:r w:rsidRPr="00787335">
              <w:rPr>
                <w:szCs w:val="24"/>
              </w:rPr>
              <w:t>Ambirix®, Twinrix®</w:t>
            </w:r>
          </w:p>
        </w:tc>
      </w:tr>
      <w:tr w:rsidR="008C2BD4" w:rsidRPr="00787335" w14:paraId="470CE851" w14:textId="77777777" w:rsidTr="00094335">
        <w:tc>
          <w:tcPr>
            <w:tcW w:w="4261" w:type="dxa"/>
            <w:shd w:val="clear" w:color="auto" w:fill="auto"/>
          </w:tcPr>
          <w:p w14:paraId="6EB166AF" w14:textId="77777777" w:rsidR="008C2BD4" w:rsidRPr="00787335" w:rsidRDefault="008C2BD4" w:rsidP="00094335">
            <w:pPr>
              <w:rPr>
                <w:szCs w:val="24"/>
              </w:rPr>
            </w:pPr>
            <w:r w:rsidRPr="00787335">
              <w:rPr>
                <w:szCs w:val="24"/>
              </w:rPr>
              <w:t>Influenza</w:t>
            </w:r>
          </w:p>
        </w:tc>
        <w:tc>
          <w:tcPr>
            <w:tcW w:w="4261" w:type="dxa"/>
            <w:shd w:val="clear" w:color="auto" w:fill="auto"/>
          </w:tcPr>
          <w:p w14:paraId="26BD4BAD" w14:textId="77777777" w:rsidR="008C2BD4" w:rsidRPr="00787335" w:rsidRDefault="008C2BD4" w:rsidP="00094335">
            <w:pPr>
              <w:rPr>
                <w:szCs w:val="24"/>
              </w:rPr>
            </w:pPr>
            <w:r w:rsidRPr="00787335">
              <w:rPr>
                <w:szCs w:val="24"/>
              </w:rPr>
              <w:t>Aggrippal®,</w:t>
            </w:r>
            <w:r>
              <w:rPr>
                <w:szCs w:val="24"/>
              </w:rPr>
              <w:t xml:space="preserve"> </w:t>
            </w:r>
            <w:r w:rsidRPr="00787335">
              <w:rPr>
                <w:szCs w:val="24"/>
              </w:rPr>
              <w:t>Enzira®, Fluarix®, Fluvirin®, Imuvac®, Influvac® Sub-unit,  and Viroflu®</w:t>
            </w:r>
          </w:p>
        </w:tc>
      </w:tr>
      <w:tr w:rsidR="008C2BD4" w:rsidRPr="00787335" w14:paraId="4915088E" w14:textId="77777777" w:rsidTr="00094335">
        <w:tc>
          <w:tcPr>
            <w:tcW w:w="4261" w:type="dxa"/>
            <w:shd w:val="clear" w:color="auto" w:fill="auto"/>
          </w:tcPr>
          <w:p w14:paraId="5539354E" w14:textId="77777777" w:rsidR="008C2BD4" w:rsidRPr="00787335" w:rsidRDefault="008C2BD4" w:rsidP="00094335">
            <w:pPr>
              <w:rPr>
                <w:szCs w:val="24"/>
              </w:rPr>
            </w:pPr>
            <w:r>
              <w:rPr>
                <w:szCs w:val="24"/>
              </w:rPr>
              <w:t>Japanese Encephalitis</w:t>
            </w:r>
          </w:p>
        </w:tc>
        <w:tc>
          <w:tcPr>
            <w:tcW w:w="4261" w:type="dxa"/>
            <w:shd w:val="clear" w:color="auto" w:fill="auto"/>
          </w:tcPr>
          <w:p w14:paraId="0EBECEED" w14:textId="77777777" w:rsidR="008C2BD4" w:rsidRPr="00787335" w:rsidRDefault="008C2BD4" w:rsidP="00094335">
            <w:pPr>
              <w:rPr>
                <w:szCs w:val="24"/>
              </w:rPr>
            </w:pPr>
            <w:r>
              <w:rPr>
                <w:szCs w:val="24"/>
              </w:rPr>
              <w:t>Ixiaro®</w:t>
            </w:r>
          </w:p>
        </w:tc>
      </w:tr>
      <w:tr w:rsidR="008C2BD4" w:rsidRPr="00787335" w14:paraId="6D6159E2" w14:textId="77777777" w:rsidTr="00094335">
        <w:tc>
          <w:tcPr>
            <w:tcW w:w="4261" w:type="dxa"/>
            <w:shd w:val="clear" w:color="auto" w:fill="auto"/>
          </w:tcPr>
          <w:p w14:paraId="46F5FABD" w14:textId="77777777" w:rsidR="008C2BD4" w:rsidRPr="00787335" w:rsidRDefault="008C2BD4" w:rsidP="00094335">
            <w:pPr>
              <w:rPr>
                <w:szCs w:val="24"/>
              </w:rPr>
            </w:pPr>
            <w:r w:rsidRPr="00787335">
              <w:rPr>
                <w:szCs w:val="24"/>
              </w:rPr>
              <w:t>Meningococcal Group C</w:t>
            </w:r>
          </w:p>
        </w:tc>
        <w:tc>
          <w:tcPr>
            <w:tcW w:w="4261" w:type="dxa"/>
            <w:shd w:val="clear" w:color="auto" w:fill="auto"/>
          </w:tcPr>
          <w:p w14:paraId="65A1059E" w14:textId="77777777" w:rsidR="008C2BD4" w:rsidRPr="00787335" w:rsidRDefault="008C2BD4" w:rsidP="00094335">
            <w:pPr>
              <w:rPr>
                <w:szCs w:val="24"/>
              </w:rPr>
            </w:pPr>
            <w:r w:rsidRPr="00787335">
              <w:rPr>
                <w:szCs w:val="24"/>
              </w:rPr>
              <w:t>Meningitec®, Menjugate Kit®, NeisVac-C®</w:t>
            </w:r>
          </w:p>
        </w:tc>
      </w:tr>
      <w:tr w:rsidR="008C2BD4" w:rsidRPr="00787335" w14:paraId="64D98140" w14:textId="77777777" w:rsidTr="00094335">
        <w:tc>
          <w:tcPr>
            <w:tcW w:w="4261" w:type="dxa"/>
            <w:shd w:val="clear" w:color="auto" w:fill="auto"/>
          </w:tcPr>
          <w:p w14:paraId="4AC22AFD" w14:textId="77777777" w:rsidR="008C2BD4" w:rsidRPr="00787335" w:rsidRDefault="008C2BD4" w:rsidP="00094335">
            <w:pPr>
              <w:rPr>
                <w:szCs w:val="24"/>
              </w:rPr>
            </w:pPr>
            <w:r w:rsidRPr="00787335">
              <w:rPr>
                <w:szCs w:val="24"/>
              </w:rPr>
              <w:t xml:space="preserve">Meningococcal A,C, W135 and Y </w:t>
            </w:r>
            <w:r>
              <w:rPr>
                <w:szCs w:val="24"/>
              </w:rPr>
              <w:t xml:space="preserve">conjugate </w:t>
            </w:r>
            <w:r w:rsidRPr="00787335">
              <w:rPr>
                <w:szCs w:val="24"/>
              </w:rPr>
              <w:t>vaccine</w:t>
            </w:r>
          </w:p>
        </w:tc>
        <w:tc>
          <w:tcPr>
            <w:tcW w:w="4261" w:type="dxa"/>
            <w:shd w:val="clear" w:color="auto" w:fill="auto"/>
          </w:tcPr>
          <w:p w14:paraId="15F7F75E" w14:textId="77777777" w:rsidR="008C2BD4" w:rsidRPr="00787335" w:rsidRDefault="008C2BD4" w:rsidP="00094335">
            <w:pPr>
              <w:rPr>
                <w:szCs w:val="24"/>
              </w:rPr>
            </w:pPr>
            <w:r>
              <w:rPr>
                <w:szCs w:val="24"/>
              </w:rPr>
              <w:t>Menveo®, Nimenrix®</w:t>
            </w:r>
          </w:p>
        </w:tc>
      </w:tr>
      <w:tr w:rsidR="008C2BD4" w:rsidRPr="00787335" w14:paraId="797FB999" w14:textId="77777777" w:rsidTr="00094335">
        <w:tc>
          <w:tcPr>
            <w:tcW w:w="4261" w:type="dxa"/>
            <w:shd w:val="clear" w:color="auto" w:fill="auto"/>
          </w:tcPr>
          <w:p w14:paraId="0740659F" w14:textId="77777777" w:rsidR="008C2BD4" w:rsidRPr="00787335" w:rsidRDefault="008C2BD4" w:rsidP="00094335">
            <w:pPr>
              <w:rPr>
                <w:szCs w:val="24"/>
              </w:rPr>
            </w:pPr>
            <w:r w:rsidRPr="00787335">
              <w:rPr>
                <w:szCs w:val="24"/>
              </w:rPr>
              <w:t>Meningococcal polysaccharide A,C, W135 and Y vaccine</w:t>
            </w:r>
          </w:p>
        </w:tc>
        <w:tc>
          <w:tcPr>
            <w:tcW w:w="4261" w:type="dxa"/>
            <w:shd w:val="clear" w:color="auto" w:fill="auto"/>
          </w:tcPr>
          <w:p w14:paraId="4C87316B" w14:textId="77777777" w:rsidR="008C2BD4" w:rsidRPr="00787335" w:rsidRDefault="008C2BD4" w:rsidP="00094335">
            <w:pPr>
              <w:rPr>
                <w:szCs w:val="24"/>
              </w:rPr>
            </w:pPr>
            <w:r w:rsidRPr="00787335">
              <w:rPr>
                <w:szCs w:val="24"/>
              </w:rPr>
              <w:t>ACWY Vax®</w:t>
            </w:r>
          </w:p>
        </w:tc>
      </w:tr>
      <w:tr w:rsidR="008C2BD4" w:rsidRPr="00787335" w14:paraId="5A80DCC6" w14:textId="77777777" w:rsidTr="00094335">
        <w:tc>
          <w:tcPr>
            <w:tcW w:w="4261" w:type="dxa"/>
            <w:shd w:val="clear" w:color="auto" w:fill="auto"/>
          </w:tcPr>
          <w:p w14:paraId="340019B8" w14:textId="77777777" w:rsidR="008C2BD4" w:rsidRPr="00787335" w:rsidRDefault="008C2BD4" w:rsidP="00094335">
            <w:pPr>
              <w:rPr>
                <w:szCs w:val="24"/>
              </w:rPr>
            </w:pPr>
            <w:r>
              <w:rPr>
                <w:szCs w:val="24"/>
              </w:rPr>
              <w:t>Pertussis</w:t>
            </w:r>
          </w:p>
        </w:tc>
        <w:tc>
          <w:tcPr>
            <w:tcW w:w="4261" w:type="dxa"/>
            <w:shd w:val="clear" w:color="auto" w:fill="auto"/>
          </w:tcPr>
          <w:p w14:paraId="02E77A7E" w14:textId="77777777" w:rsidR="008C2BD4" w:rsidRDefault="008C2BD4" w:rsidP="00094335">
            <w:pPr>
              <w:rPr>
                <w:szCs w:val="24"/>
              </w:rPr>
            </w:pPr>
            <w:r>
              <w:rPr>
                <w:szCs w:val="24"/>
              </w:rPr>
              <w:t>Diptheria containing vaccine for immunisation of pregnant women against pertussis:</w:t>
            </w:r>
          </w:p>
          <w:p w14:paraId="0552F4AA" w14:textId="77777777" w:rsidR="008C2BD4" w:rsidRPr="00787335" w:rsidRDefault="008C2BD4" w:rsidP="00094335">
            <w:pPr>
              <w:rPr>
                <w:szCs w:val="24"/>
              </w:rPr>
            </w:pPr>
            <w:r>
              <w:rPr>
                <w:szCs w:val="24"/>
              </w:rPr>
              <w:t>Absorbed diphtheria, tetanus, pertussis and poliomyelitis vaccine - Repevax®</w:t>
            </w:r>
          </w:p>
        </w:tc>
      </w:tr>
      <w:tr w:rsidR="008C2BD4" w:rsidRPr="00787335" w14:paraId="2F2B8C3F" w14:textId="77777777" w:rsidTr="00094335">
        <w:tc>
          <w:tcPr>
            <w:tcW w:w="4261" w:type="dxa"/>
            <w:shd w:val="clear" w:color="auto" w:fill="auto"/>
          </w:tcPr>
          <w:p w14:paraId="1CA27F8C" w14:textId="77777777" w:rsidR="008C2BD4" w:rsidRPr="00787335" w:rsidRDefault="008C2BD4" w:rsidP="00094335">
            <w:pPr>
              <w:rPr>
                <w:szCs w:val="24"/>
              </w:rPr>
            </w:pPr>
            <w:r w:rsidRPr="00787335">
              <w:rPr>
                <w:szCs w:val="24"/>
              </w:rPr>
              <w:t>Pneumococcal</w:t>
            </w:r>
          </w:p>
        </w:tc>
        <w:tc>
          <w:tcPr>
            <w:tcW w:w="4261" w:type="dxa"/>
            <w:shd w:val="clear" w:color="auto" w:fill="auto"/>
          </w:tcPr>
          <w:p w14:paraId="2103F06F" w14:textId="77777777" w:rsidR="008C2BD4" w:rsidRPr="00787335" w:rsidRDefault="008C2BD4" w:rsidP="00094335">
            <w:pPr>
              <w:rPr>
                <w:szCs w:val="24"/>
              </w:rPr>
            </w:pPr>
            <w:r w:rsidRPr="00787335">
              <w:rPr>
                <w:szCs w:val="24"/>
              </w:rPr>
              <w:t>Pneumovax II® (Adults and Children over 5 years), Prevenar</w:t>
            </w:r>
            <w:r>
              <w:rPr>
                <w:szCs w:val="24"/>
              </w:rPr>
              <w:t xml:space="preserve"> 13</w:t>
            </w:r>
            <w:r w:rsidRPr="00787335">
              <w:rPr>
                <w:szCs w:val="24"/>
              </w:rPr>
              <w:t>®</w:t>
            </w:r>
            <w:r>
              <w:rPr>
                <w:szCs w:val="24"/>
              </w:rPr>
              <w:t>, Synflorix®</w:t>
            </w:r>
            <w:r w:rsidRPr="00787335">
              <w:rPr>
                <w:szCs w:val="24"/>
              </w:rPr>
              <w:t xml:space="preserve"> (Primary childhood immunisation)</w:t>
            </w:r>
          </w:p>
        </w:tc>
      </w:tr>
      <w:tr w:rsidR="008C2BD4" w:rsidRPr="00787335" w14:paraId="4228F20B" w14:textId="77777777" w:rsidTr="00094335">
        <w:tc>
          <w:tcPr>
            <w:tcW w:w="4261" w:type="dxa"/>
            <w:shd w:val="clear" w:color="auto" w:fill="auto"/>
          </w:tcPr>
          <w:p w14:paraId="34B01006" w14:textId="77777777" w:rsidR="008C2BD4" w:rsidRPr="00787335" w:rsidRDefault="008C2BD4" w:rsidP="00094335">
            <w:pPr>
              <w:rPr>
                <w:szCs w:val="24"/>
              </w:rPr>
            </w:pPr>
            <w:r w:rsidRPr="00787335">
              <w:rPr>
                <w:szCs w:val="24"/>
              </w:rPr>
              <w:t>Poliomyeltis (</w:t>
            </w:r>
            <w:r w:rsidRPr="00787335">
              <w:rPr>
                <w:szCs w:val="24"/>
                <w:u w:val="single"/>
              </w:rPr>
              <w:t>Injection</w:t>
            </w:r>
            <w:r w:rsidRPr="00787335">
              <w:rPr>
                <w:szCs w:val="24"/>
              </w:rPr>
              <w:t>)</w:t>
            </w:r>
          </w:p>
        </w:tc>
        <w:tc>
          <w:tcPr>
            <w:tcW w:w="4261" w:type="dxa"/>
            <w:shd w:val="clear" w:color="auto" w:fill="auto"/>
          </w:tcPr>
          <w:p w14:paraId="6163866D" w14:textId="77777777" w:rsidR="008C2BD4" w:rsidRPr="00787335" w:rsidRDefault="008C2BD4" w:rsidP="00094335">
            <w:pPr>
              <w:rPr>
                <w:szCs w:val="24"/>
              </w:rPr>
            </w:pPr>
            <w:r>
              <w:rPr>
                <w:szCs w:val="24"/>
              </w:rPr>
              <w:t>See under Diptheria vaccine</w:t>
            </w:r>
          </w:p>
        </w:tc>
      </w:tr>
      <w:tr w:rsidR="008C2BD4" w:rsidRPr="00787335" w14:paraId="5C43368C" w14:textId="77777777" w:rsidTr="00094335">
        <w:tc>
          <w:tcPr>
            <w:tcW w:w="4261" w:type="dxa"/>
            <w:shd w:val="clear" w:color="auto" w:fill="auto"/>
          </w:tcPr>
          <w:p w14:paraId="37DA5FCC" w14:textId="77777777" w:rsidR="008C2BD4" w:rsidRPr="00787335" w:rsidRDefault="008C2BD4" w:rsidP="00094335">
            <w:pPr>
              <w:rPr>
                <w:szCs w:val="24"/>
              </w:rPr>
            </w:pPr>
            <w:r w:rsidRPr="00787335">
              <w:rPr>
                <w:szCs w:val="24"/>
              </w:rPr>
              <w:lastRenderedPageBreak/>
              <w:t>Rabies</w:t>
            </w:r>
          </w:p>
        </w:tc>
        <w:tc>
          <w:tcPr>
            <w:tcW w:w="4261" w:type="dxa"/>
            <w:shd w:val="clear" w:color="auto" w:fill="auto"/>
          </w:tcPr>
          <w:p w14:paraId="4F99D9BE" w14:textId="77777777" w:rsidR="008C2BD4" w:rsidRPr="00787335" w:rsidRDefault="008C2BD4" w:rsidP="00094335">
            <w:pPr>
              <w:rPr>
                <w:szCs w:val="24"/>
              </w:rPr>
            </w:pPr>
            <w:r>
              <w:rPr>
                <w:szCs w:val="24"/>
              </w:rPr>
              <w:t xml:space="preserve">Rabies vaccine - Rab, </w:t>
            </w:r>
            <w:r w:rsidRPr="00787335">
              <w:rPr>
                <w:szCs w:val="24"/>
              </w:rPr>
              <w:t>Rabipur®</w:t>
            </w:r>
          </w:p>
        </w:tc>
      </w:tr>
      <w:tr w:rsidR="008C2BD4" w:rsidRPr="00787335" w14:paraId="583612A8" w14:textId="77777777" w:rsidTr="00094335">
        <w:tc>
          <w:tcPr>
            <w:tcW w:w="4261" w:type="dxa"/>
            <w:shd w:val="clear" w:color="auto" w:fill="auto"/>
          </w:tcPr>
          <w:p w14:paraId="1990819D" w14:textId="77777777" w:rsidR="008C2BD4" w:rsidRPr="00787335" w:rsidRDefault="008C2BD4" w:rsidP="00094335">
            <w:pPr>
              <w:rPr>
                <w:szCs w:val="24"/>
              </w:rPr>
            </w:pPr>
            <w:r w:rsidRPr="00787335">
              <w:rPr>
                <w:szCs w:val="24"/>
              </w:rPr>
              <w:t>Tetanus</w:t>
            </w:r>
          </w:p>
        </w:tc>
        <w:tc>
          <w:tcPr>
            <w:tcW w:w="4261" w:type="dxa"/>
            <w:shd w:val="clear" w:color="auto" w:fill="auto"/>
          </w:tcPr>
          <w:p w14:paraId="57C914F6" w14:textId="77777777" w:rsidR="008C2BD4" w:rsidRPr="00787335" w:rsidRDefault="008C2BD4" w:rsidP="00094335">
            <w:pPr>
              <w:rPr>
                <w:szCs w:val="24"/>
              </w:rPr>
            </w:pPr>
            <w:r w:rsidRPr="00787335">
              <w:rPr>
                <w:szCs w:val="24"/>
              </w:rPr>
              <w:t xml:space="preserve">*Single preparation no longer available. Combined Adsorbed diphtheria (low dose), tetanus and inactivated poliomyelitis preparation given. </w:t>
            </w:r>
          </w:p>
        </w:tc>
      </w:tr>
      <w:tr w:rsidR="008C2BD4" w:rsidRPr="00787335" w14:paraId="4C799B1A" w14:textId="77777777" w:rsidTr="00094335">
        <w:tc>
          <w:tcPr>
            <w:tcW w:w="4261" w:type="dxa"/>
            <w:shd w:val="clear" w:color="auto" w:fill="auto"/>
          </w:tcPr>
          <w:p w14:paraId="2D76A973" w14:textId="77777777" w:rsidR="008C2BD4" w:rsidRPr="00787335" w:rsidRDefault="008C2BD4" w:rsidP="00094335">
            <w:pPr>
              <w:rPr>
                <w:szCs w:val="24"/>
              </w:rPr>
            </w:pPr>
            <w:r w:rsidRPr="00787335">
              <w:rPr>
                <w:szCs w:val="24"/>
              </w:rPr>
              <w:t>Tick-borne encephalitis</w:t>
            </w:r>
          </w:p>
        </w:tc>
        <w:tc>
          <w:tcPr>
            <w:tcW w:w="4261" w:type="dxa"/>
            <w:shd w:val="clear" w:color="auto" w:fill="auto"/>
          </w:tcPr>
          <w:p w14:paraId="3C4F6244" w14:textId="77777777" w:rsidR="008C2BD4" w:rsidRPr="00787335" w:rsidRDefault="008C2BD4" w:rsidP="00094335">
            <w:pPr>
              <w:rPr>
                <w:szCs w:val="24"/>
              </w:rPr>
            </w:pPr>
            <w:r w:rsidRPr="00787335">
              <w:rPr>
                <w:szCs w:val="24"/>
              </w:rPr>
              <w:t>TicoVac®</w:t>
            </w:r>
          </w:p>
        </w:tc>
      </w:tr>
      <w:tr w:rsidR="008C2BD4" w:rsidRPr="00787335" w14:paraId="601B90D7" w14:textId="77777777" w:rsidTr="00094335">
        <w:tc>
          <w:tcPr>
            <w:tcW w:w="4261" w:type="dxa"/>
            <w:shd w:val="clear" w:color="auto" w:fill="auto"/>
          </w:tcPr>
          <w:p w14:paraId="70400A76" w14:textId="77777777" w:rsidR="008C2BD4" w:rsidRPr="00787335" w:rsidRDefault="008C2BD4" w:rsidP="00094335">
            <w:pPr>
              <w:rPr>
                <w:szCs w:val="24"/>
              </w:rPr>
            </w:pPr>
            <w:r w:rsidRPr="00787335">
              <w:rPr>
                <w:szCs w:val="24"/>
              </w:rPr>
              <w:t>Typhoid (</w:t>
            </w:r>
            <w:r w:rsidRPr="00787335">
              <w:rPr>
                <w:szCs w:val="24"/>
                <w:u w:val="single"/>
              </w:rPr>
              <w:t>Polysaccharide injection for vaccination)</w:t>
            </w:r>
          </w:p>
        </w:tc>
        <w:tc>
          <w:tcPr>
            <w:tcW w:w="4261" w:type="dxa"/>
            <w:shd w:val="clear" w:color="auto" w:fill="auto"/>
          </w:tcPr>
          <w:p w14:paraId="63DE3EC9" w14:textId="77777777" w:rsidR="008C2BD4" w:rsidRPr="00787335" w:rsidRDefault="008C2BD4" w:rsidP="00094335">
            <w:pPr>
              <w:rPr>
                <w:szCs w:val="24"/>
              </w:rPr>
            </w:pPr>
            <w:r w:rsidRPr="00787335">
              <w:rPr>
                <w:szCs w:val="24"/>
              </w:rPr>
              <w:t>Typherix®, Typhim Vi®</w:t>
            </w:r>
          </w:p>
        </w:tc>
      </w:tr>
    </w:tbl>
    <w:p w14:paraId="1C90708F" w14:textId="77777777" w:rsidR="008C2BD4" w:rsidRDefault="008C2BD4" w:rsidP="008C2BD4">
      <w:pPr>
        <w:rPr>
          <w:b/>
          <w:szCs w:val="24"/>
        </w:rPr>
      </w:pPr>
    </w:p>
    <w:p w14:paraId="6C3AD95D" w14:textId="77777777" w:rsidR="008C2BD4" w:rsidRDefault="008C2BD4" w:rsidP="008C2BD4">
      <w:pPr>
        <w:rPr>
          <w:b/>
          <w:szCs w:val="24"/>
        </w:rPr>
      </w:pPr>
    </w:p>
    <w:p w14:paraId="28B1C690" w14:textId="77777777" w:rsidR="008C2BD4" w:rsidRPr="00787335" w:rsidRDefault="008C2BD4" w:rsidP="00BB0D06">
      <w:pPr>
        <w:spacing w:line="360" w:lineRule="auto"/>
        <w:rPr>
          <w:b/>
          <w:szCs w:val="24"/>
        </w:rPr>
      </w:pPr>
      <w:r w:rsidRPr="00787335">
        <w:rPr>
          <w:b/>
          <w:szCs w:val="24"/>
        </w:rPr>
        <w:t>Recommended</w:t>
      </w:r>
    </w:p>
    <w:p w14:paraId="471B4CDE" w14:textId="77777777" w:rsidR="008C2BD4" w:rsidRPr="00787335" w:rsidRDefault="008C2BD4" w:rsidP="00BB0D06">
      <w:pPr>
        <w:numPr>
          <w:ilvl w:val="1"/>
          <w:numId w:val="22"/>
        </w:numPr>
        <w:spacing w:line="360" w:lineRule="auto"/>
        <w:rPr>
          <w:b/>
          <w:szCs w:val="24"/>
        </w:rPr>
      </w:pPr>
      <w:r w:rsidRPr="00787335">
        <w:rPr>
          <w:b/>
          <w:szCs w:val="24"/>
        </w:rPr>
        <w:t>Annual flu vaccine</w:t>
      </w:r>
    </w:p>
    <w:p w14:paraId="7D60B038" w14:textId="77777777" w:rsidR="008C2BD4" w:rsidRDefault="008C2BD4" w:rsidP="00BB0D06">
      <w:pPr>
        <w:numPr>
          <w:ilvl w:val="1"/>
          <w:numId w:val="22"/>
        </w:numPr>
        <w:spacing w:line="360" w:lineRule="auto"/>
        <w:rPr>
          <w:b/>
          <w:szCs w:val="24"/>
        </w:rPr>
      </w:pPr>
      <w:r w:rsidRPr="00787335">
        <w:rPr>
          <w:b/>
          <w:szCs w:val="24"/>
        </w:rPr>
        <w:t xml:space="preserve">Every 5 years </w:t>
      </w:r>
      <w:r>
        <w:rPr>
          <w:b/>
          <w:szCs w:val="24"/>
        </w:rPr>
        <w:t>–</w:t>
      </w:r>
      <w:r w:rsidRPr="00787335">
        <w:rPr>
          <w:b/>
          <w:szCs w:val="24"/>
        </w:rPr>
        <w:t xml:space="preserve"> pneum</w:t>
      </w:r>
      <w:r>
        <w:rPr>
          <w:b/>
          <w:szCs w:val="24"/>
        </w:rPr>
        <w:t>o</w:t>
      </w:r>
      <w:r w:rsidRPr="00787335">
        <w:rPr>
          <w:b/>
          <w:szCs w:val="24"/>
        </w:rPr>
        <w:t>coccal</w:t>
      </w:r>
      <w:r>
        <w:rPr>
          <w:b/>
          <w:szCs w:val="24"/>
        </w:rPr>
        <w:t xml:space="preserve"> vaccine</w:t>
      </w:r>
    </w:p>
    <w:p w14:paraId="015550CE" w14:textId="77777777" w:rsidR="008C2BD4" w:rsidRDefault="008C2BD4" w:rsidP="00BB0D06">
      <w:pPr>
        <w:spacing w:line="360" w:lineRule="auto"/>
        <w:rPr>
          <w:b/>
          <w:szCs w:val="24"/>
        </w:rPr>
      </w:pPr>
    </w:p>
    <w:p w14:paraId="41099713" w14:textId="3F011A24" w:rsidR="008C2BD4" w:rsidRPr="00787335" w:rsidRDefault="008C2BD4" w:rsidP="00BB0D06">
      <w:pPr>
        <w:spacing w:line="360" w:lineRule="auto"/>
        <w:rPr>
          <w:szCs w:val="24"/>
        </w:rPr>
      </w:pPr>
      <w:r w:rsidRPr="005A5489">
        <w:rPr>
          <w:szCs w:val="24"/>
        </w:rPr>
        <w:t>Influenza and pneumococcal vaccination should be offered to all patients receiving immunosuppressant therapy</w:t>
      </w:r>
      <w:r w:rsidR="00002652">
        <w:rPr>
          <w:szCs w:val="24"/>
        </w:rPr>
        <w:t xml:space="preserve"> (except those on hydroxychloroquine and sulphasalazine)</w:t>
      </w:r>
      <w:r w:rsidRPr="005A5489">
        <w:rPr>
          <w:szCs w:val="24"/>
        </w:rPr>
        <w:t>.</w:t>
      </w:r>
      <w:r w:rsidRPr="00787335">
        <w:rPr>
          <w:szCs w:val="24"/>
        </w:rPr>
        <w:t xml:space="preserve"> Pneumococcal vaccine should preferably be given before starting therapy, but if not it should be repeated at 5 yearly intervals (rather than 10</w:t>
      </w:r>
      <w:r>
        <w:rPr>
          <w:szCs w:val="24"/>
        </w:rPr>
        <w:t xml:space="preserve"> year intervals</w:t>
      </w:r>
      <w:r w:rsidRPr="00787335">
        <w:rPr>
          <w:szCs w:val="24"/>
        </w:rPr>
        <w:t xml:space="preserve">). </w:t>
      </w:r>
      <w:r>
        <w:rPr>
          <w:szCs w:val="24"/>
        </w:rPr>
        <w:t>The need for repeat pneumococcal vaccination at 5 year intervals is based on expert recommendations from Microbiologists. Recent research has shown that the majority of patients on sDMARDs and/or biologics (excluding rituximab) receiving annual influenza vaccination will reach sufficient serological immunity to protect against infection. Patients on rituximab (and possibly abatacept) may have a reduced response to influenza vaccine (Kapetanovic et al. 2014).</w:t>
      </w:r>
      <w:r w:rsidRPr="00787335">
        <w:rPr>
          <w:szCs w:val="24"/>
        </w:rPr>
        <w:t xml:space="preserve"> </w:t>
      </w:r>
    </w:p>
    <w:p w14:paraId="27F57C23" w14:textId="77777777" w:rsidR="008C2BD4" w:rsidRDefault="008C2BD4" w:rsidP="00BB0D06">
      <w:pPr>
        <w:spacing w:line="360" w:lineRule="auto"/>
        <w:rPr>
          <w:b/>
          <w:szCs w:val="24"/>
        </w:rPr>
      </w:pPr>
    </w:p>
    <w:p w14:paraId="0FA80D8E" w14:textId="77777777" w:rsidR="008C2BD4" w:rsidRPr="00787335" w:rsidRDefault="008C2BD4" w:rsidP="00BB0D06">
      <w:pPr>
        <w:spacing w:line="360" w:lineRule="auto"/>
        <w:rPr>
          <w:b/>
          <w:szCs w:val="24"/>
        </w:rPr>
      </w:pPr>
      <w:r w:rsidRPr="00787335">
        <w:rPr>
          <w:b/>
          <w:szCs w:val="24"/>
        </w:rPr>
        <w:t xml:space="preserve">For more detailed information on immunisation and contra-indications refer to the Department of Health Green Book Website: </w:t>
      </w:r>
    </w:p>
    <w:p w14:paraId="3D1CB4F6" w14:textId="77777777" w:rsidR="008C2BD4" w:rsidRPr="00787335" w:rsidRDefault="008C2BD4" w:rsidP="00BB0D06">
      <w:pPr>
        <w:spacing w:line="360" w:lineRule="auto"/>
        <w:rPr>
          <w:b/>
          <w:szCs w:val="24"/>
        </w:rPr>
      </w:pPr>
      <w:r w:rsidRPr="00787335">
        <w:rPr>
          <w:b/>
          <w:szCs w:val="24"/>
        </w:rPr>
        <w:t>https://www.gov.uk/government/collections/immunisation-against-infectious-disease-the-green-book</w:t>
      </w:r>
    </w:p>
    <w:p w14:paraId="115719F0" w14:textId="77777777" w:rsidR="008C2BD4" w:rsidRDefault="008C2BD4" w:rsidP="00BB0D06">
      <w:pPr>
        <w:spacing w:line="360" w:lineRule="auto"/>
        <w:rPr>
          <w:b/>
          <w:szCs w:val="24"/>
        </w:rPr>
      </w:pPr>
    </w:p>
    <w:p w14:paraId="558AB420" w14:textId="77777777" w:rsidR="008C2BD4" w:rsidRDefault="008C2BD4" w:rsidP="00BB0D06">
      <w:pPr>
        <w:spacing w:line="360" w:lineRule="auto"/>
        <w:rPr>
          <w:b/>
          <w:szCs w:val="24"/>
        </w:rPr>
      </w:pPr>
    </w:p>
    <w:p w14:paraId="452D0259" w14:textId="77777777" w:rsidR="008C2BD4" w:rsidRDefault="008C2BD4" w:rsidP="00BB0D06">
      <w:pPr>
        <w:spacing w:line="360" w:lineRule="auto"/>
        <w:rPr>
          <w:b/>
          <w:sz w:val="28"/>
          <w:szCs w:val="28"/>
        </w:rPr>
      </w:pPr>
      <w:r w:rsidRPr="00346ACA">
        <w:rPr>
          <w:b/>
          <w:sz w:val="28"/>
          <w:szCs w:val="28"/>
        </w:rPr>
        <w:t>Biologics</w:t>
      </w:r>
    </w:p>
    <w:p w14:paraId="6ABFD830" w14:textId="77777777" w:rsidR="008C2BD4" w:rsidRPr="00346ACA" w:rsidRDefault="008C2BD4" w:rsidP="00BB0D06">
      <w:pPr>
        <w:spacing w:line="360" w:lineRule="auto"/>
        <w:rPr>
          <w:b/>
          <w:sz w:val="28"/>
          <w:szCs w:val="28"/>
        </w:rPr>
      </w:pPr>
    </w:p>
    <w:p w14:paraId="5CD58AB1" w14:textId="77777777" w:rsidR="008C2BD4" w:rsidRPr="002329AD" w:rsidRDefault="008C2BD4" w:rsidP="00BB0D06">
      <w:pPr>
        <w:numPr>
          <w:ilvl w:val="0"/>
          <w:numId w:val="23"/>
        </w:numPr>
        <w:spacing w:line="360" w:lineRule="auto"/>
        <w:rPr>
          <w:szCs w:val="24"/>
        </w:rPr>
      </w:pPr>
      <w:r w:rsidRPr="002329AD">
        <w:rPr>
          <w:szCs w:val="24"/>
        </w:rPr>
        <w:t>A full assessment of vaccination status should be made before commencing treatment with a biologic</w:t>
      </w:r>
      <w:r>
        <w:rPr>
          <w:szCs w:val="24"/>
        </w:rPr>
        <w:t xml:space="preserve"> agent</w:t>
      </w:r>
      <w:r w:rsidRPr="002329AD">
        <w:rPr>
          <w:szCs w:val="24"/>
        </w:rPr>
        <w:t>.</w:t>
      </w:r>
    </w:p>
    <w:p w14:paraId="07369FAA" w14:textId="77777777" w:rsidR="008C2BD4" w:rsidRPr="002329AD" w:rsidRDefault="008C2BD4" w:rsidP="00BB0D06">
      <w:pPr>
        <w:numPr>
          <w:ilvl w:val="0"/>
          <w:numId w:val="23"/>
        </w:numPr>
        <w:spacing w:line="360" w:lineRule="auto"/>
        <w:rPr>
          <w:szCs w:val="24"/>
        </w:rPr>
      </w:pPr>
      <w:r w:rsidRPr="002329AD">
        <w:rPr>
          <w:szCs w:val="24"/>
        </w:rPr>
        <w:lastRenderedPageBreak/>
        <w:t>Live vaccines should not be given to patients receiving treatment with biologic agents.</w:t>
      </w:r>
      <w:r w:rsidRPr="003A6A06">
        <w:rPr>
          <w:szCs w:val="24"/>
        </w:rPr>
        <w:t xml:space="preserve"> </w:t>
      </w:r>
      <w:r w:rsidRPr="002329AD">
        <w:rPr>
          <w:szCs w:val="24"/>
        </w:rPr>
        <w:t xml:space="preserve">Where live vaccination is required it should be given at </w:t>
      </w:r>
      <w:r w:rsidRPr="00346ACA">
        <w:rPr>
          <w:b/>
          <w:szCs w:val="24"/>
        </w:rPr>
        <w:t>least 4 weeks prior</w:t>
      </w:r>
      <w:r w:rsidRPr="002329AD">
        <w:rPr>
          <w:szCs w:val="24"/>
        </w:rPr>
        <w:t xml:space="preserve"> to commencing treatment with a biologic. </w:t>
      </w:r>
    </w:p>
    <w:p w14:paraId="5597FDCB" w14:textId="77777777" w:rsidR="008C2BD4" w:rsidRPr="001F2ECE" w:rsidRDefault="008C2BD4" w:rsidP="00BB0D06">
      <w:pPr>
        <w:numPr>
          <w:ilvl w:val="0"/>
          <w:numId w:val="23"/>
        </w:numPr>
        <w:spacing w:line="360" w:lineRule="auto"/>
        <w:rPr>
          <w:b/>
          <w:szCs w:val="24"/>
        </w:rPr>
      </w:pPr>
      <w:r w:rsidRPr="002329AD">
        <w:rPr>
          <w:szCs w:val="24"/>
        </w:rPr>
        <w:t xml:space="preserve">Non–live vaccines may be given, but the immunological response may be reduced. It is therefore recommended that pneumococcal </w:t>
      </w:r>
      <w:r>
        <w:rPr>
          <w:szCs w:val="24"/>
        </w:rPr>
        <w:t xml:space="preserve">vaccine </w:t>
      </w:r>
      <w:r w:rsidRPr="002329AD">
        <w:rPr>
          <w:szCs w:val="24"/>
        </w:rPr>
        <w:t xml:space="preserve">should be given 2-4 weeks before starting a biologic as response after starting treatment is thought to be </w:t>
      </w:r>
      <w:r>
        <w:rPr>
          <w:szCs w:val="24"/>
        </w:rPr>
        <w:t>reduced</w:t>
      </w:r>
      <w:r w:rsidRPr="00787335">
        <w:rPr>
          <w:szCs w:val="24"/>
        </w:rPr>
        <w:t>.</w:t>
      </w:r>
    </w:p>
    <w:p w14:paraId="42F04810" w14:textId="77777777" w:rsidR="008C2BD4" w:rsidRDefault="008C2BD4" w:rsidP="00BB0D06">
      <w:pPr>
        <w:numPr>
          <w:ilvl w:val="0"/>
          <w:numId w:val="23"/>
        </w:numPr>
        <w:overflowPunct/>
        <w:autoSpaceDE/>
        <w:autoSpaceDN/>
        <w:adjustRightInd/>
        <w:spacing w:line="360" w:lineRule="auto"/>
        <w:textAlignment w:val="auto"/>
        <w:rPr>
          <w:szCs w:val="24"/>
        </w:rPr>
      </w:pPr>
      <w:r>
        <w:rPr>
          <w:szCs w:val="24"/>
        </w:rPr>
        <w:t xml:space="preserve">On stopping treatment with a biologic agent current </w:t>
      </w:r>
      <w:r w:rsidRPr="00346ACA">
        <w:rPr>
          <w:b/>
          <w:szCs w:val="24"/>
        </w:rPr>
        <w:t>DOH guidance recommends waiting for 6 months</w:t>
      </w:r>
      <w:r>
        <w:rPr>
          <w:szCs w:val="24"/>
        </w:rPr>
        <w:t xml:space="preserve"> before administering a live vaccine. It should be noted that the datasheet for abatacept suggest live vaccination is acceptable after 3 months have elapsed. Please contact the Rheumatologist for advice if a live vaccine is indicated in a patient currently on a DMARD or biologic medicine or where the medication has been stopped for less than 6 months.</w:t>
      </w:r>
    </w:p>
    <w:p w14:paraId="17095632" w14:textId="37F07723" w:rsidR="008C2BD4" w:rsidRDefault="008C2BD4" w:rsidP="00BB0D06">
      <w:pPr>
        <w:numPr>
          <w:ilvl w:val="0"/>
          <w:numId w:val="23"/>
        </w:numPr>
        <w:overflowPunct/>
        <w:autoSpaceDE/>
        <w:autoSpaceDN/>
        <w:adjustRightInd/>
        <w:spacing w:line="360" w:lineRule="auto"/>
        <w:textAlignment w:val="auto"/>
        <w:rPr>
          <w:szCs w:val="24"/>
        </w:rPr>
      </w:pPr>
      <w:r>
        <w:rPr>
          <w:szCs w:val="24"/>
        </w:rPr>
        <w:t xml:space="preserve">The datasheet for rituximab recommends avoidance of live vaccination in individuals who are still B cell depleted. Non-live vaccines should ideally be given pre-treatment, as </w:t>
      </w:r>
      <w:r w:rsidR="00295352">
        <w:rPr>
          <w:szCs w:val="24"/>
        </w:rPr>
        <w:t xml:space="preserve">they </w:t>
      </w:r>
      <w:r>
        <w:rPr>
          <w:szCs w:val="24"/>
        </w:rPr>
        <w:t>will be less effective during therapy, and 6 months post infusion where necessary</w:t>
      </w:r>
    </w:p>
    <w:p w14:paraId="5C3C8179" w14:textId="77777777" w:rsidR="008C2BD4" w:rsidRDefault="008C2BD4" w:rsidP="00BB0D06">
      <w:pPr>
        <w:numPr>
          <w:ilvl w:val="0"/>
          <w:numId w:val="23"/>
        </w:numPr>
        <w:overflowPunct/>
        <w:autoSpaceDE/>
        <w:autoSpaceDN/>
        <w:adjustRightInd/>
        <w:spacing w:line="360" w:lineRule="auto"/>
        <w:textAlignment w:val="auto"/>
        <w:rPr>
          <w:szCs w:val="24"/>
        </w:rPr>
      </w:pPr>
      <w:r>
        <w:rPr>
          <w:szCs w:val="24"/>
        </w:rPr>
        <w:t>Rituximab may reduce titres of protective antibodies so consider checking these, especially in presence of hypogammaglobulinaemia and when otherwise clinically indicated (discuss with Leeds Immunology / Rheumatology if needed)</w:t>
      </w:r>
    </w:p>
    <w:p w14:paraId="183FD979" w14:textId="77777777" w:rsidR="008C2BD4" w:rsidRDefault="008C2BD4" w:rsidP="00BB0D06">
      <w:pPr>
        <w:overflowPunct/>
        <w:autoSpaceDE/>
        <w:autoSpaceDN/>
        <w:adjustRightInd/>
        <w:spacing w:line="360" w:lineRule="auto"/>
        <w:textAlignment w:val="auto"/>
        <w:rPr>
          <w:szCs w:val="24"/>
        </w:rPr>
      </w:pPr>
    </w:p>
    <w:p w14:paraId="6486BA9E" w14:textId="77777777" w:rsidR="008C2BD4" w:rsidRDefault="008C2BD4" w:rsidP="00BB0D06">
      <w:pPr>
        <w:overflowPunct/>
        <w:autoSpaceDE/>
        <w:autoSpaceDN/>
        <w:adjustRightInd/>
        <w:spacing w:line="360" w:lineRule="auto"/>
        <w:textAlignment w:val="auto"/>
        <w:rPr>
          <w:szCs w:val="24"/>
        </w:rPr>
      </w:pPr>
    </w:p>
    <w:p w14:paraId="1FB21A10" w14:textId="77777777" w:rsidR="008C2BD4" w:rsidRDefault="008C2BD4" w:rsidP="00BB0D06">
      <w:pPr>
        <w:overflowPunct/>
        <w:autoSpaceDE/>
        <w:autoSpaceDN/>
        <w:adjustRightInd/>
        <w:spacing w:line="360" w:lineRule="auto"/>
        <w:textAlignment w:val="auto"/>
        <w:rPr>
          <w:szCs w:val="24"/>
        </w:rPr>
      </w:pPr>
    </w:p>
    <w:p w14:paraId="0E9EA96A" w14:textId="77777777" w:rsidR="008C2BD4" w:rsidRDefault="008C2BD4" w:rsidP="00BB0D06">
      <w:pPr>
        <w:spacing w:line="360" w:lineRule="auto"/>
        <w:rPr>
          <w:b/>
          <w:sz w:val="28"/>
          <w:szCs w:val="28"/>
        </w:rPr>
      </w:pPr>
      <w:r w:rsidRPr="00C57126">
        <w:rPr>
          <w:b/>
          <w:sz w:val="28"/>
          <w:szCs w:val="28"/>
        </w:rPr>
        <w:t>General Travel Advice</w:t>
      </w:r>
    </w:p>
    <w:p w14:paraId="77D5F390" w14:textId="77777777" w:rsidR="008C2BD4" w:rsidRPr="00C57126" w:rsidRDefault="008C2BD4" w:rsidP="00BB0D06">
      <w:pPr>
        <w:spacing w:line="360" w:lineRule="auto"/>
        <w:rPr>
          <w:b/>
          <w:sz w:val="28"/>
          <w:szCs w:val="28"/>
        </w:rPr>
      </w:pPr>
    </w:p>
    <w:p w14:paraId="65EDD405" w14:textId="77777777" w:rsidR="008C2BD4" w:rsidRPr="00787335" w:rsidRDefault="008C2BD4" w:rsidP="00BB0D06">
      <w:pPr>
        <w:overflowPunct/>
        <w:autoSpaceDE/>
        <w:autoSpaceDN/>
        <w:adjustRightInd/>
        <w:spacing w:line="360" w:lineRule="auto"/>
        <w:textAlignment w:val="auto"/>
        <w:rPr>
          <w:szCs w:val="24"/>
        </w:rPr>
      </w:pPr>
      <w:r w:rsidRPr="00787335">
        <w:rPr>
          <w:szCs w:val="24"/>
        </w:rPr>
        <w:t>All non-live vaccines should be given as appropriate.</w:t>
      </w:r>
    </w:p>
    <w:p w14:paraId="6FEBB5A1" w14:textId="77777777" w:rsidR="008C2BD4" w:rsidRPr="00787335" w:rsidRDefault="008C2BD4" w:rsidP="00BB0D06">
      <w:pPr>
        <w:overflowPunct/>
        <w:autoSpaceDE/>
        <w:autoSpaceDN/>
        <w:adjustRightInd/>
        <w:spacing w:line="360" w:lineRule="auto"/>
        <w:textAlignment w:val="auto"/>
        <w:rPr>
          <w:b/>
          <w:szCs w:val="24"/>
        </w:rPr>
      </w:pPr>
    </w:p>
    <w:p w14:paraId="40A3DE52" w14:textId="77777777" w:rsidR="008C2BD4" w:rsidRPr="00787335" w:rsidRDefault="008C2BD4" w:rsidP="00BB0D06">
      <w:pPr>
        <w:overflowPunct/>
        <w:autoSpaceDE/>
        <w:autoSpaceDN/>
        <w:adjustRightInd/>
        <w:spacing w:line="360" w:lineRule="auto"/>
        <w:textAlignment w:val="auto"/>
        <w:rPr>
          <w:szCs w:val="24"/>
        </w:rPr>
      </w:pPr>
      <w:r w:rsidRPr="00787335">
        <w:rPr>
          <w:szCs w:val="24"/>
        </w:rPr>
        <w:t>The administration of yellow fever vaccine is contra-indicated making travel to endemic areas, including tropical Africa and South America inadvisable. A certificate saying Yellow Fever vaccine cannot be given on medical grounds may be acceptable to some immigration authorities in special circumstances. Country requirements are published annually by WHO in International travel and health (available at www.who.int/ith) (WHO, 2004), and are included in Health information for overseas travel (Department of Health, 2001) and may be found on the NaTHNaC, www.nathnac.org.</w:t>
      </w:r>
    </w:p>
    <w:p w14:paraId="6994BAF1" w14:textId="77777777" w:rsidR="008C2BD4" w:rsidRPr="00787335" w:rsidRDefault="008C2BD4" w:rsidP="00BB0D06">
      <w:pPr>
        <w:overflowPunct/>
        <w:autoSpaceDE/>
        <w:autoSpaceDN/>
        <w:adjustRightInd/>
        <w:spacing w:line="360" w:lineRule="auto"/>
        <w:ind w:left="720"/>
        <w:textAlignment w:val="auto"/>
        <w:rPr>
          <w:b/>
          <w:szCs w:val="24"/>
        </w:rPr>
      </w:pPr>
    </w:p>
    <w:p w14:paraId="09D49083" w14:textId="77777777" w:rsidR="008C2BD4" w:rsidRPr="00787335" w:rsidRDefault="008C2BD4" w:rsidP="00BB0D06">
      <w:pPr>
        <w:overflowPunct/>
        <w:autoSpaceDE/>
        <w:autoSpaceDN/>
        <w:adjustRightInd/>
        <w:spacing w:line="360" w:lineRule="auto"/>
        <w:textAlignment w:val="auto"/>
        <w:rPr>
          <w:szCs w:val="24"/>
        </w:rPr>
      </w:pPr>
      <w:r w:rsidRPr="00787335">
        <w:rPr>
          <w:szCs w:val="24"/>
        </w:rPr>
        <w:t>The parenteral typhoid vaccine offers only 70-80% protection, so personal, food and water hygiene must be emphasised to travellers in endemic areas.</w:t>
      </w:r>
    </w:p>
    <w:p w14:paraId="3AB8A6B7" w14:textId="77777777" w:rsidR="008C2BD4" w:rsidRPr="00787335" w:rsidRDefault="008C2BD4" w:rsidP="00BB0D06">
      <w:pPr>
        <w:overflowPunct/>
        <w:autoSpaceDE/>
        <w:autoSpaceDN/>
        <w:adjustRightInd/>
        <w:spacing w:line="360" w:lineRule="auto"/>
        <w:textAlignment w:val="auto"/>
        <w:rPr>
          <w:b/>
          <w:szCs w:val="24"/>
        </w:rPr>
      </w:pPr>
    </w:p>
    <w:p w14:paraId="58E08C00" w14:textId="77777777" w:rsidR="008C2BD4" w:rsidRPr="00787335" w:rsidRDefault="008C2BD4" w:rsidP="00BB0D06">
      <w:pPr>
        <w:overflowPunct/>
        <w:autoSpaceDE/>
        <w:autoSpaceDN/>
        <w:adjustRightInd/>
        <w:spacing w:line="360" w:lineRule="auto"/>
        <w:textAlignment w:val="auto"/>
        <w:rPr>
          <w:szCs w:val="24"/>
        </w:rPr>
      </w:pPr>
      <w:r w:rsidRPr="00787335">
        <w:rPr>
          <w:szCs w:val="24"/>
        </w:rPr>
        <w:t>Immunisation with the oral cholera vaccine (Dukoral®) does not provide complete protection.  Scrupulous attention to food, water, and personal hygiene is essential when travelling to areas where cholera exists.</w:t>
      </w:r>
    </w:p>
    <w:p w14:paraId="3967CDD1" w14:textId="77777777" w:rsidR="008C2BD4" w:rsidRPr="00787335" w:rsidRDefault="008C2BD4" w:rsidP="00BB0D06">
      <w:pPr>
        <w:overflowPunct/>
        <w:autoSpaceDE/>
        <w:autoSpaceDN/>
        <w:adjustRightInd/>
        <w:spacing w:line="360" w:lineRule="auto"/>
        <w:textAlignment w:val="auto"/>
        <w:rPr>
          <w:b/>
          <w:szCs w:val="24"/>
        </w:rPr>
      </w:pPr>
    </w:p>
    <w:p w14:paraId="5E4FA164" w14:textId="77777777" w:rsidR="008C2BD4" w:rsidRDefault="008C2BD4" w:rsidP="00BB0D06">
      <w:pPr>
        <w:overflowPunct/>
        <w:autoSpaceDE/>
        <w:autoSpaceDN/>
        <w:adjustRightInd/>
        <w:spacing w:line="360" w:lineRule="auto"/>
        <w:textAlignment w:val="auto"/>
        <w:rPr>
          <w:szCs w:val="24"/>
        </w:rPr>
      </w:pPr>
      <w:r w:rsidRPr="00787335">
        <w:rPr>
          <w:szCs w:val="24"/>
        </w:rPr>
        <w:t xml:space="preserve">Malaria prophylaxis is essential when travelling to countries where there is a risk of developing malaria. Prophylaxis is not absolute and personal protection against being bitten is very important. Patients taking hydroxychloroquine should not take chloroquine as part of their malaria prophylaxis regime. Check for drug interactions with the </w:t>
      </w:r>
      <w:r>
        <w:rPr>
          <w:szCs w:val="24"/>
        </w:rPr>
        <w:t xml:space="preserve">local Hospital </w:t>
      </w:r>
      <w:r w:rsidRPr="00787335">
        <w:rPr>
          <w:szCs w:val="24"/>
        </w:rPr>
        <w:t>Pharmacy Department.</w:t>
      </w:r>
    </w:p>
    <w:p w14:paraId="2FEF6AB2" w14:textId="77777777" w:rsidR="008C2BD4" w:rsidRDefault="008C2BD4" w:rsidP="00BB0D06">
      <w:pPr>
        <w:overflowPunct/>
        <w:autoSpaceDE/>
        <w:autoSpaceDN/>
        <w:adjustRightInd/>
        <w:spacing w:line="360" w:lineRule="auto"/>
        <w:textAlignment w:val="auto"/>
        <w:rPr>
          <w:szCs w:val="24"/>
        </w:rPr>
      </w:pPr>
    </w:p>
    <w:p w14:paraId="0EDD01B0" w14:textId="77777777" w:rsidR="008C2BD4" w:rsidRDefault="008C2BD4" w:rsidP="00BB0D06">
      <w:pPr>
        <w:overflowPunct/>
        <w:autoSpaceDE/>
        <w:autoSpaceDN/>
        <w:adjustRightInd/>
        <w:spacing w:line="360" w:lineRule="auto"/>
        <w:textAlignment w:val="auto"/>
        <w:rPr>
          <w:szCs w:val="24"/>
        </w:rPr>
      </w:pPr>
    </w:p>
    <w:p w14:paraId="4F967A4E" w14:textId="77777777" w:rsidR="008C2BD4" w:rsidRDefault="008C2BD4" w:rsidP="00BB0D06">
      <w:pPr>
        <w:overflowPunct/>
        <w:autoSpaceDE/>
        <w:autoSpaceDN/>
        <w:adjustRightInd/>
        <w:spacing w:line="360" w:lineRule="auto"/>
        <w:textAlignment w:val="auto"/>
        <w:rPr>
          <w:szCs w:val="24"/>
        </w:rPr>
      </w:pPr>
    </w:p>
    <w:p w14:paraId="5ADED31B" w14:textId="77777777" w:rsidR="008C2BD4" w:rsidRDefault="008C2BD4" w:rsidP="008C2BD4">
      <w:pPr>
        <w:overflowPunct/>
        <w:autoSpaceDE/>
        <w:autoSpaceDN/>
        <w:adjustRightInd/>
        <w:textAlignment w:val="auto"/>
        <w:rPr>
          <w:szCs w:val="24"/>
        </w:rPr>
      </w:pPr>
    </w:p>
    <w:p w14:paraId="3155ABAB" w14:textId="77777777" w:rsidR="008C2BD4" w:rsidRDefault="008C2BD4" w:rsidP="008C2BD4">
      <w:pPr>
        <w:overflowPunct/>
        <w:autoSpaceDE/>
        <w:autoSpaceDN/>
        <w:adjustRightInd/>
        <w:textAlignment w:val="auto"/>
        <w:rPr>
          <w:szCs w:val="24"/>
        </w:rPr>
      </w:pPr>
    </w:p>
    <w:p w14:paraId="3EA79870" w14:textId="77777777" w:rsidR="008C2BD4" w:rsidRDefault="008C2BD4" w:rsidP="008C2BD4">
      <w:pPr>
        <w:overflowPunct/>
        <w:autoSpaceDE/>
        <w:autoSpaceDN/>
        <w:adjustRightInd/>
        <w:textAlignment w:val="auto"/>
        <w:rPr>
          <w:szCs w:val="24"/>
        </w:rPr>
      </w:pPr>
    </w:p>
    <w:p w14:paraId="3E8FC7F2" w14:textId="77777777" w:rsidR="008C2BD4" w:rsidRDefault="008C2BD4" w:rsidP="008C2BD4">
      <w:pPr>
        <w:overflowPunct/>
        <w:autoSpaceDE/>
        <w:autoSpaceDN/>
        <w:adjustRightInd/>
        <w:textAlignment w:val="auto"/>
        <w:rPr>
          <w:szCs w:val="24"/>
        </w:rPr>
      </w:pPr>
    </w:p>
    <w:p w14:paraId="2CF65ECA" w14:textId="77777777" w:rsidR="008C2BD4" w:rsidRDefault="008C2BD4" w:rsidP="008C2BD4">
      <w:pPr>
        <w:overflowPunct/>
        <w:autoSpaceDE/>
        <w:autoSpaceDN/>
        <w:adjustRightInd/>
        <w:textAlignment w:val="auto"/>
        <w:rPr>
          <w:szCs w:val="24"/>
        </w:rPr>
      </w:pPr>
    </w:p>
    <w:p w14:paraId="029F36FD" w14:textId="77777777" w:rsidR="008C2BD4" w:rsidRDefault="008C2BD4" w:rsidP="008C2BD4">
      <w:pPr>
        <w:overflowPunct/>
        <w:autoSpaceDE/>
        <w:autoSpaceDN/>
        <w:adjustRightInd/>
        <w:textAlignment w:val="auto"/>
        <w:rPr>
          <w:szCs w:val="24"/>
        </w:rPr>
      </w:pPr>
    </w:p>
    <w:p w14:paraId="310D45F4" w14:textId="77777777" w:rsidR="008C2BD4" w:rsidRDefault="008C2BD4" w:rsidP="008C2BD4">
      <w:pPr>
        <w:overflowPunct/>
        <w:autoSpaceDE/>
        <w:autoSpaceDN/>
        <w:adjustRightInd/>
        <w:textAlignment w:val="auto"/>
        <w:rPr>
          <w:szCs w:val="24"/>
        </w:rPr>
      </w:pPr>
    </w:p>
    <w:p w14:paraId="65416467" w14:textId="77777777" w:rsidR="008C2BD4" w:rsidRDefault="008C2BD4" w:rsidP="008C2BD4">
      <w:pPr>
        <w:overflowPunct/>
        <w:autoSpaceDE/>
        <w:autoSpaceDN/>
        <w:adjustRightInd/>
        <w:textAlignment w:val="auto"/>
        <w:rPr>
          <w:szCs w:val="24"/>
        </w:rPr>
      </w:pPr>
    </w:p>
    <w:p w14:paraId="0759F706" w14:textId="77777777" w:rsidR="008C2BD4" w:rsidRDefault="008C2BD4">
      <w:pPr>
        <w:overflowPunct/>
        <w:autoSpaceDE/>
        <w:autoSpaceDN/>
        <w:adjustRightInd/>
        <w:spacing w:after="160" w:line="259" w:lineRule="auto"/>
        <w:textAlignment w:val="auto"/>
        <w:rPr>
          <w:rFonts w:eastAsiaTheme="majorEastAsia" w:cstheme="majorBidi"/>
          <w:b/>
          <w:sz w:val="32"/>
          <w:szCs w:val="32"/>
        </w:rPr>
      </w:pPr>
      <w:r>
        <w:br w:type="page"/>
      </w:r>
    </w:p>
    <w:p w14:paraId="18B5AE32" w14:textId="1D1D47D8" w:rsidR="008C2BD4" w:rsidRDefault="008C2BD4" w:rsidP="008C2BD4">
      <w:pPr>
        <w:pStyle w:val="Heading1"/>
      </w:pPr>
      <w:bookmarkStart w:id="40" w:name="_Toc531873952"/>
      <w:r w:rsidRPr="00DE7331">
        <w:lastRenderedPageBreak/>
        <w:t>Recommendations for patients undergoing surgical procedures</w:t>
      </w:r>
      <w:bookmarkEnd w:id="40"/>
    </w:p>
    <w:p w14:paraId="0CE8616D" w14:textId="77777777" w:rsidR="008C2BD4" w:rsidRDefault="008C2BD4" w:rsidP="008C2BD4">
      <w:pPr>
        <w:overflowPunct/>
        <w:autoSpaceDE/>
        <w:autoSpaceDN/>
        <w:adjustRightInd/>
        <w:textAlignment w:val="auto"/>
        <w:rPr>
          <w:b/>
          <w:sz w:val="28"/>
          <w:szCs w:val="28"/>
        </w:rPr>
      </w:pPr>
    </w:p>
    <w:p w14:paraId="49EE3AFC" w14:textId="77777777" w:rsidR="008C2BD4" w:rsidRDefault="008C2BD4" w:rsidP="008C2BD4">
      <w:pPr>
        <w:overflowPunct/>
        <w:autoSpaceDE/>
        <w:autoSpaceDN/>
        <w:adjustRightInd/>
        <w:textAlignment w:val="auto"/>
        <w:rPr>
          <w:b/>
          <w:sz w:val="28"/>
          <w:szCs w:val="28"/>
        </w:rPr>
      </w:pPr>
    </w:p>
    <w:p w14:paraId="5359ABB7" w14:textId="651D820F" w:rsidR="008C2BD4" w:rsidRDefault="008C2BD4" w:rsidP="00BB0D06">
      <w:pPr>
        <w:overflowPunct/>
        <w:autoSpaceDE/>
        <w:autoSpaceDN/>
        <w:adjustRightInd/>
        <w:spacing w:line="360" w:lineRule="auto"/>
        <w:textAlignment w:val="auto"/>
        <w:rPr>
          <w:szCs w:val="24"/>
        </w:rPr>
      </w:pPr>
      <w:r>
        <w:rPr>
          <w:szCs w:val="24"/>
        </w:rPr>
        <w:t xml:space="preserve">When elective surgery is planned it has been recommended that a biological DMARD should ideally be stopped for a period of 2 to 5 times the half-life prior to the surgical procedure. Table 3 provides information on the </w:t>
      </w:r>
      <w:r w:rsidR="0056157F">
        <w:rPr>
          <w:szCs w:val="24"/>
        </w:rPr>
        <w:t>approx</w:t>
      </w:r>
      <w:r>
        <w:rPr>
          <w:szCs w:val="24"/>
        </w:rPr>
        <w:t>imate half-lives of currently used biologic medicines. The suggested period for stopping treatment prior to surgery has been agreed as reasonable, given the balance of risk of surgical infection versus the risk of disease flare. The times given are generally agreed to be as short as is safe, with longer periods where there is greater concern. Some surgery may involve much greater risk of infection (eg colonic) whereas others are very low (eg ophthalmic).</w:t>
      </w:r>
    </w:p>
    <w:p w14:paraId="321D60FA" w14:textId="77777777" w:rsidR="008C2BD4" w:rsidRDefault="008C2BD4" w:rsidP="00BB0D06">
      <w:pPr>
        <w:overflowPunct/>
        <w:autoSpaceDE/>
        <w:autoSpaceDN/>
        <w:adjustRightInd/>
        <w:spacing w:line="360" w:lineRule="auto"/>
        <w:textAlignment w:val="auto"/>
        <w:rPr>
          <w:szCs w:val="24"/>
        </w:rPr>
      </w:pPr>
    </w:p>
    <w:p w14:paraId="2C1E13F7" w14:textId="77777777" w:rsidR="008C2BD4" w:rsidRPr="00E3636F" w:rsidRDefault="008C2BD4" w:rsidP="00BB0D06">
      <w:pPr>
        <w:overflowPunct/>
        <w:autoSpaceDE/>
        <w:autoSpaceDN/>
        <w:adjustRightInd/>
        <w:spacing w:line="360" w:lineRule="auto"/>
        <w:textAlignment w:val="auto"/>
        <w:rPr>
          <w:szCs w:val="24"/>
        </w:rPr>
      </w:pPr>
      <w:r>
        <w:rPr>
          <w:szCs w:val="24"/>
        </w:rPr>
        <w:t>Due to inter-patient variability, co-morbidities and the need for rehabilitation post-surgery the period required for interruption of biologic therapy should be discussed with the Rheumatologist well in advance of the planned surgery. The wound should be fully healed and show no evidence infection before the biologic medicine is restarted.</w:t>
      </w:r>
    </w:p>
    <w:p w14:paraId="18F0A69A" w14:textId="77777777" w:rsidR="008C2BD4" w:rsidRDefault="008C2BD4" w:rsidP="00BB0D06">
      <w:pPr>
        <w:overflowPunct/>
        <w:autoSpaceDE/>
        <w:autoSpaceDN/>
        <w:adjustRightInd/>
        <w:spacing w:line="360" w:lineRule="auto"/>
        <w:textAlignment w:val="auto"/>
        <w:rPr>
          <w:b/>
          <w:szCs w:val="24"/>
        </w:rPr>
      </w:pPr>
    </w:p>
    <w:p w14:paraId="63341A70" w14:textId="77777777" w:rsidR="008C2BD4" w:rsidRDefault="008C2BD4" w:rsidP="008C2BD4">
      <w:pPr>
        <w:overflowPunct/>
        <w:autoSpaceDE/>
        <w:autoSpaceDN/>
        <w:adjustRightInd/>
        <w:textAlignment w:val="auto"/>
        <w:rPr>
          <w:b/>
          <w:szCs w:val="24"/>
        </w:rPr>
      </w:pPr>
    </w:p>
    <w:p w14:paraId="60E7393D" w14:textId="77777777" w:rsidR="008C2BD4" w:rsidRDefault="008C2BD4" w:rsidP="008C2BD4">
      <w:pPr>
        <w:overflowPunct/>
        <w:autoSpaceDE/>
        <w:autoSpaceDN/>
        <w:adjustRightInd/>
        <w:textAlignment w:val="auto"/>
        <w:rPr>
          <w:b/>
          <w:szCs w:val="24"/>
        </w:rPr>
      </w:pPr>
      <w:r>
        <w:rPr>
          <w:b/>
          <w:szCs w:val="24"/>
        </w:rPr>
        <w:t>Table 3, Current licensed biological DMARDs half-life’s plus suggested stopping period prior to surgery</w:t>
      </w:r>
    </w:p>
    <w:p w14:paraId="218BD159" w14:textId="50A11AC8" w:rsidR="008C2BD4" w:rsidRDefault="008C2BD4" w:rsidP="008C2BD4">
      <w:pPr>
        <w:overflowPunct/>
        <w:autoSpaceDE/>
        <w:autoSpaceDN/>
        <w:adjustRightInd/>
        <w:textAlignment w:val="auto"/>
        <w:rPr>
          <w:b/>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6"/>
        <w:gridCol w:w="2244"/>
        <w:gridCol w:w="3411"/>
        <w:gridCol w:w="932"/>
        <w:gridCol w:w="983"/>
      </w:tblGrid>
      <w:tr w:rsidR="00B35FE5" w:rsidRPr="00B35FE5" w14:paraId="256CC218" w14:textId="77777777" w:rsidTr="00B35FE5">
        <w:trPr>
          <w:tblHeader/>
          <w:tblCellSpacing w:w="15" w:type="dxa"/>
        </w:trPr>
        <w:tc>
          <w:tcPr>
            <w:tcW w:w="0" w:type="auto"/>
            <w:vAlign w:val="center"/>
            <w:hideMark/>
          </w:tcPr>
          <w:p w14:paraId="36643A4C" w14:textId="77777777" w:rsidR="00B35FE5" w:rsidRPr="00B35FE5" w:rsidRDefault="00B35FE5" w:rsidP="00B35FE5">
            <w:pPr>
              <w:overflowPunct/>
              <w:autoSpaceDE/>
              <w:autoSpaceDN/>
              <w:adjustRightInd/>
              <w:jc w:val="center"/>
              <w:textAlignment w:val="auto"/>
              <w:rPr>
                <w:b/>
                <w:bCs/>
                <w:szCs w:val="24"/>
                <w:lang w:eastAsia="en-GB"/>
              </w:rPr>
            </w:pPr>
            <w:r w:rsidRPr="00B35FE5">
              <w:rPr>
                <w:b/>
                <w:bCs/>
                <w:szCs w:val="24"/>
                <w:lang w:eastAsia="en-GB"/>
              </w:rPr>
              <w:t>Drug </w:t>
            </w:r>
          </w:p>
        </w:tc>
        <w:tc>
          <w:tcPr>
            <w:tcW w:w="0" w:type="auto"/>
            <w:vAlign w:val="center"/>
            <w:hideMark/>
          </w:tcPr>
          <w:p w14:paraId="3E1D5405" w14:textId="77777777" w:rsidR="00B35FE5" w:rsidRPr="00B35FE5" w:rsidRDefault="00B35FE5" w:rsidP="00B35FE5">
            <w:pPr>
              <w:overflowPunct/>
              <w:autoSpaceDE/>
              <w:autoSpaceDN/>
              <w:adjustRightInd/>
              <w:jc w:val="center"/>
              <w:textAlignment w:val="auto"/>
              <w:rPr>
                <w:b/>
                <w:bCs/>
                <w:szCs w:val="24"/>
                <w:lang w:eastAsia="en-GB"/>
              </w:rPr>
            </w:pPr>
            <w:r w:rsidRPr="00B35FE5">
              <w:rPr>
                <w:b/>
                <w:bCs/>
                <w:szCs w:val="24"/>
                <w:lang w:eastAsia="en-GB"/>
              </w:rPr>
              <w:t>Dosing interval </w:t>
            </w:r>
          </w:p>
        </w:tc>
        <w:tc>
          <w:tcPr>
            <w:tcW w:w="0" w:type="auto"/>
            <w:vAlign w:val="center"/>
            <w:hideMark/>
          </w:tcPr>
          <w:p w14:paraId="062D1890" w14:textId="77777777" w:rsidR="00B35FE5" w:rsidRPr="00B35FE5" w:rsidRDefault="00B35FE5" w:rsidP="00B35FE5">
            <w:pPr>
              <w:overflowPunct/>
              <w:autoSpaceDE/>
              <w:autoSpaceDN/>
              <w:adjustRightInd/>
              <w:jc w:val="center"/>
              <w:textAlignment w:val="auto"/>
              <w:rPr>
                <w:b/>
                <w:bCs/>
                <w:szCs w:val="24"/>
                <w:lang w:eastAsia="en-GB"/>
              </w:rPr>
            </w:pPr>
            <w:r w:rsidRPr="00B35FE5">
              <w:rPr>
                <w:b/>
                <w:bCs/>
                <w:szCs w:val="24"/>
                <w:lang w:eastAsia="en-GB"/>
              </w:rPr>
              <w:t>Period in which surgery should be scheduled (relative to last biologic dose administered) </w:t>
            </w:r>
          </w:p>
        </w:tc>
        <w:tc>
          <w:tcPr>
            <w:tcW w:w="0" w:type="auto"/>
            <w:vAlign w:val="center"/>
            <w:hideMark/>
          </w:tcPr>
          <w:p w14:paraId="0B141080" w14:textId="77777777" w:rsidR="00B35FE5" w:rsidRPr="00B35FE5" w:rsidRDefault="00B35FE5" w:rsidP="00B35FE5">
            <w:pPr>
              <w:overflowPunct/>
              <w:autoSpaceDE/>
              <w:autoSpaceDN/>
              <w:adjustRightInd/>
              <w:jc w:val="center"/>
              <w:textAlignment w:val="auto"/>
              <w:rPr>
                <w:b/>
                <w:bCs/>
                <w:szCs w:val="24"/>
                <w:lang w:eastAsia="en-GB"/>
              </w:rPr>
            </w:pPr>
            <w:r w:rsidRPr="00B35FE5">
              <w:rPr>
                <w:b/>
                <w:bCs/>
                <w:szCs w:val="24"/>
                <w:lang w:eastAsia="en-GB"/>
              </w:rPr>
              <w:t>One half-life, days </w:t>
            </w:r>
          </w:p>
        </w:tc>
        <w:tc>
          <w:tcPr>
            <w:tcW w:w="0" w:type="auto"/>
            <w:vAlign w:val="center"/>
            <w:hideMark/>
          </w:tcPr>
          <w:p w14:paraId="1BC9BD38" w14:textId="77777777" w:rsidR="00B35FE5" w:rsidRPr="00B35FE5" w:rsidRDefault="00B35FE5" w:rsidP="00B35FE5">
            <w:pPr>
              <w:overflowPunct/>
              <w:autoSpaceDE/>
              <w:autoSpaceDN/>
              <w:adjustRightInd/>
              <w:jc w:val="center"/>
              <w:textAlignment w:val="auto"/>
              <w:rPr>
                <w:b/>
                <w:bCs/>
                <w:szCs w:val="24"/>
                <w:lang w:eastAsia="en-GB"/>
              </w:rPr>
            </w:pPr>
            <w:r w:rsidRPr="00B35FE5">
              <w:rPr>
                <w:b/>
                <w:bCs/>
                <w:szCs w:val="24"/>
                <w:lang w:eastAsia="en-GB"/>
              </w:rPr>
              <w:t>Five half-lives, days </w:t>
            </w:r>
          </w:p>
        </w:tc>
      </w:tr>
      <w:tr w:rsidR="00B35FE5" w:rsidRPr="00B35FE5" w14:paraId="61973F61" w14:textId="77777777" w:rsidTr="00B35FE5">
        <w:trPr>
          <w:tblCellSpacing w:w="15" w:type="dxa"/>
        </w:trPr>
        <w:tc>
          <w:tcPr>
            <w:tcW w:w="0" w:type="auto"/>
            <w:vAlign w:val="center"/>
            <w:hideMark/>
          </w:tcPr>
          <w:p w14:paraId="585EE7C3"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Adalimumab </w:t>
            </w:r>
          </w:p>
        </w:tc>
        <w:tc>
          <w:tcPr>
            <w:tcW w:w="0" w:type="auto"/>
            <w:vAlign w:val="center"/>
            <w:hideMark/>
          </w:tcPr>
          <w:p w14:paraId="4BEE03E6"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Every 2 weeks </w:t>
            </w:r>
          </w:p>
        </w:tc>
        <w:tc>
          <w:tcPr>
            <w:tcW w:w="0" w:type="auto"/>
            <w:vAlign w:val="center"/>
            <w:hideMark/>
          </w:tcPr>
          <w:p w14:paraId="05186327"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Week 3 </w:t>
            </w:r>
          </w:p>
        </w:tc>
        <w:tc>
          <w:tcPr>
            <w:tcW w:w="0" w:type="auto"/>
            <w:vAlign w:val="center"/>
            <w:hideMark/>
          </w:tcPr>
          <w:p w14:paraId="13A0856B"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14 </w:t>
            </w:r>
          </w:p>
        </w:tc>
        <w:tc>
          <w:tcPr>
            <w:tcW w:w="0" w:type="auto"/>
            <w:vAlign w:val="center"/>
            <w:hideMark/>
          </w:tcPr>
          <w:p w14:paraId="102B20D5"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70 </w:t>
            </w:r>
          </w:p>
        </w:tc>
      </w:tr>
      <w:tr w:rsidR="00B35FE5" w:rsidRPr="00B35FE5" w14:paraId="5E735925" w14:textId="77777777" w:rsidTr="00B35FE5">
        <w:trPr>
          <w:tblCellSpacing w:w="15" w:type="dxa"/>
        </w:trPr>
        <w:tc>
          <w:tcPr>
            <w:tcW w:w="0" w:type="auto"/>
            <w:vAlign w:val="center"/>
            <w:hideMark/>
          </w:tcPr>
          <w:p w14:paraId="02674854"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Abatacept i.v./s.c. </w:t>
            </w:r>
          </w:p>
        </w:tc>
        <w:tc>
          <w:tcPr>
            <w:tcW w:w="0" w:type="auto"/>
            <w:vAlign w:val="center"/>
            <w:hideMark/>
          </w:tcPr>
          <w:p w14:paraId="4F4E7B0F"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Monthly (i.v.) weekly (s.c.) </w:t>
            </w:r>
          </w:p>
        </w:tc>
        <w:tc>
          <w:tcPr>
            <w:tcW w:w="0" w:type="auto"/>
            <w:vAlign w:val="center"/>
            <w:hideMark/>
          </w:tcPr>
          <w:p w14:paraId="10D3BF4D" w14:textId="55C7FCB4" w:rsidR="00B35FE5" w:rsidRPr="00B35FE5" w:rsidRDefault="00B35FE5" w:rsidP="00717EEC">
            <w:pPr>
              <w:overflowPunct/>
              <w:autoSpaceDE/>
              <w:autoSpaceDN/>
              <w:adjustRightInd/>
              <w:textAlignment w:val="auto"/>
              <w:rPr>
                <w:szCs w:val="24"/>
                <w:lang w:eastAsia="en-GB"/>
              </w:rPr>
            </w:pPr>
            <w:r w:rsidRPr="00B35FE5">
              <w:rPr>
                <w:szCs w:val="24"/>
                <w:lang w:eastAsia="en-GB"/>
              </w:rPr>
              <w:t>Week 5</w:t>
            </w:r>
            <w:r w:rsidR="00717EEC">
              <w:rPr>
                <w:szCs w:val="24"/>
                <w:lang w:eastAsia="en-GB"/>
              </w:rPr>
              <w:t>/w</w:t>
            </w:r>
            <w:r w:rsidRPr="00B35FE5">
              <w:rPr>
                <w:szCs w:val="24"/>
                <w:lang w:eastAsia="en-GB"/>
              </w:rPr>
              <w:t>eek 2 </w:t>
            </w:r>
          </w:p>
        </w:tc>
        <w:tc>
          <w:tcPr>
            <w:tcW w:w="0" w:type="auto"/>
            <w:vAlign w:val="center"/>
            <w:hideMark/>
          </w:tcPr>
          <w:p w14:paraId="265EB714"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14 </w:t>
            </w:r>
          </w:p>
        </w:tc>
        <w:tc>
          <w:tcPr>
            <w:tcW w:w="0" w:type="auto"/>
            <w:vAlign w:val="center"/>
            <w:hideMark/>
          </w:tcPr>
          <w:p w14:paraId="1AA24665"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70 </w:t>
            </w:r>
          </w:p>
        </w:tc>
      </w:tr>
      <w:tr w:rsidR="00B35FE5" w:rsidRPr="00B35FE5" w14:paraId="5980CBD7" w14:textId="77777777" w:rsidTr="00B35FE5">
        <w:trPr>
          <w:tblCellSpacing w:w="15" w:type="dxa"/>
        </w:trPr>
        <w:tc>
          <w:tcPr>
            <w:tcW w:w="0" w:type="auto"/>
            <w:vAlign w:val="center"/>
            <w:hideMark/>
          </w:tcPr>
          <w:p w14:paraId="0A2FD316"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Certolizumab </w:t>
            </w:r>
          </w:p>
        </w:tc>
        <w:tc>
          <w:tcPr>
            <w:tcW w:w="0" w:type="auto"/>
            <w:vAlign w:val="center"/>
            <w:hideMark/>
          </w:tcPr>
          <w:p w14:paraId="67C1A305"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Every 2 weeks </w:t>
            </w:r>
          </w:p>
        </w:tc>
        <w:tc>
          <w:tcPr>
            <w:tcW w:w="0" w:type="auto"/>
            <w:vAlign w:val="center"/>
            <w:hideMark/>
          </w:tcPr>
          <w:p w14:paraId="0A97E138"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Week 3 </w:t>
            </w:r>
          </w:p>
        </w:tc>
        <w:tc>
          <w:tcPr>
            <w:tcW w:w="0" w:type="auto"/>
            <w:vAlign w:val="center"/>
            <w:hideMark/>
          </w:tcPr>
          <w:p w14:paraId="7FA7D21E"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14 </w:t>
            </w:r>
          </w:p>
        </w:tc>
        <w:tc>
          <w:tcPr>
            <w:tcW w:w="0" w:type="auto"/>
            <w:vAlign w:val="center"/>
            <w:hideMark/>
          </w:tcPr>
          <w:p w14:paraId="6434D29D"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70 </w:t>
            </w:r>
          </w:p>
        </w:tc>
      </w:tr>
      <w:tr w:rsidR="00B35FE5" w:rsidRPr="00B35FE5" w14:paraId="486BE340" w14:textId="77777777" w:rsidTr="00B35FE5">
        <w:trPr>
          <w:tblCellSpacing w:w="15" w:type="dxa"/>
        </w:trPr>
        <w:tc>
          <w:tcPr>
            <w:tcW w:w="0" w:type="auto"/>
            <w:vAlign w:val="center"/>
            <w:hideMark/>
          </w:tcPr>
          <w:p w14:paraId="3D18EC25"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 </w:t>
            </w:r>
          </w:p>
        </w:tc>
        <w:tc>
          <w:tcPr>
            <w:tcW w:w="0" w:type="auto"/>
            <w:vAlign w:val="center"/>
            <w:hideMark/>
          </w:tcPr>
          <w:p w14:paraId="002816A5"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Every 4 weeks </w:t>
            </w:r>
          </w:p>
        </w:tc>
        <w:tc>
          <w:tcPr>
            <w:tcW w:w="0" w:type="auto"/>
            <w:vAlign w:val="center"/>
            <w:hideMark/>
          </w:tcPr>
          <w:p w14:paraId="1CF96B32"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Week 5 </w:t>
            </w:r>
          </w:p>
        </w:tc>
        <w:tc>
          <w:tcPr>
            <w:tcW w:w="0" w:type="auto"/>
            <w:vAlign w:val="center"/>
            <w:hideMark/>
          </w:tcPr>
          <w:p w14:paraId="279219EF"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 </w:t>
            </w:r>
          </w:p>
        </w:tc>
        <w:tc>
          <w:tcPr>
            <w:tcW w:w="0" w:type="auto"/>
            <w:vAlign w:val="center"/>
            <w:hideMark/>
          </w:tcPr>
          <w:p w14:paraId="2AF9B39A"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 </w:t>
            </w:r>
          </w:p>
        </w:tc>
      </w:tr>
      <w:tr w:rsidR="00B35FE5" w:rsidRPr="00B35FE5" w14:paraId="5002EC02" w14:textId="77777777" w:rsidTr="00B35FE5">
        <w:trPr>
          <w:tblCellSpacing w:w="15" w:type="dxa"/>
        </w:trPr>
        <w:tc>
          <w:tcPr>
            <w:tcW w:w="0" w:type="auto"/>
            <w:vAlign w:val="center"/>
            <w:hideMark/>
          </w:tcPr>
          <w:p w14:paraId="6DF9F2F3"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Etanercept </w:t>
            </w:r>
          </w:p>
        </w:tc>
        <w:tc>
          <w:tcPr>
            <w:tcW w:w="0" w:type="auto"/>
            <w:vAlign w:val="center"/>
            <w:hideMark/>
          </w:tcPr>
          <w:p w14:paraId="28EA5947"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Weekly or twice weekly </w:t>
            </w:r>
          </w:p>
        </w:tc>
        <w:tc>
          <w:tcPr>
            <w:tcW w:w="0" w:type="auto"/>
            <w:vAlign w:val="center"/>
            <w:hideMark/>
          </w:tcPr>
          <w:p w14:paraId="416FBC27"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Week 2 </w:t>
            </w:r>
          </w:p>
        </w:tc>
        <w:tc>
          <w:tcPr>
            <w:tcW w:w="0" w:type="auto"/>
            <w:vAlign w:val="center"/>
            <w:hideMark/>
          </w:tcPr>
          <w:p w14:paraId="76920951"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3 </w:t>
            </w:r>
          </w:p>
        </w:tc>
        <w:tc>
          <w:tcPr>
            <w:tcW w:w="0" w:type="auto"/>
            <w:vAlign w:val="center"/>
            <w:hideMark/>
          </w:tcPr>
          <w:p w14:paraId="5B7C70DE"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15 </w:t>
            </w:r>
          </w:p>
        </w:tc>
      </w:tr>
      <w:tr w:rsidR="00B35FE5" w:rsidRPr="00B35FE5" w14:paraId="714C5316" w14:textId="77777777" w:rsidTr="00B35FE5">
        <w:trPr>
          <w:tblCellSpacing w:w="15" w:type="dxa"/>
        </w:trPr>
        <w:tc>
          <w:tcPr>
            <w:tcW w:w="0" w:type="auto"/>
            <w:vAlign w:val="center"/>
            <w:hideMark/>
          </w:tcPr>
          <w:p w14:paraId="1B24F021"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Golimumab </w:t>
            </w:r>
          </w:p>
        </w:tc>
        <w:tc>
          <w:tcPr>
            <w:tcW w:w="0" w:type="auto"/>
            <w:vAlign w:val="center"/>
            <w:hideMark/>
          </w:tcPr>
          <w:p w14:paraId="731CEEF0"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Every 4 weeks </w:t>
            </w:r>
          </w:p>
        </w:tc>
        <w:tc>
          <w:tcPr>
            <w:tcW w:w="0" w:type="auto"/>
            <w:vAlign w:val="center"/>
            <w:hideMark/>
          </w:tcPr>
          <w:p w14:paraId="38075BEF"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Week 5 </w:t>
            </w:r>
          </w:p>
        </w:tc>
        <w:tc>
          <w:tcPr>
            <w:tcW w:w="0" w:type="auto"/>
            <w:vAlign w:val="center"/>
            <w:hideMark/>
          </w:tcPr>
          <w:p w14:paraId="0D5EA549"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14 </w:t>
            </w:r>
          </w:p>
        </w:tc>
        <w:tc>
          <w:tcPr>
            <w:tcW w:w="0" w:type="auto"/>
            <w:vAlign w:val="center"/>
            <w:hideMark/>
          </w:tcPr>
          <w:p w14:paraId="02F7A39C"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70 </w:t>
            </w:r>
          </w:p>
        </w:tc>
      </w:tr>
      <w:tr w:rsidR="00B35FE5" w:rsidRPr="00B35FE5" w14:paraId="7C2DECFA" w14:textId="77777777" w:rsidTr="00B35FE5">
        <w:trPr>
          <w:tblCellSpacing w:w="15" w:type="dxa"/>
        </w:trPr>
        <w:tc>
          <w:tcPr>
            <w:tcW w:w="0" w:type="auto"/>
            <w:vAlign w:val="center"/>
            <w:hideMark/>
          </w:tcPr>
          <w:p w14:paraId="181C74C6"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Infliximab </w:t>
            </w:r>
          </w:p>
        </w:tc>
        <w:tc>
          <w:tcPr>
            <w:tcW w:w="0" w:type="auto"/>
            <w:vAlign w:val="center"/>
            <w:hideMark/>
          </w:tcPr>
          <w:p w14:paraId="16B88B33"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Every 4, 6 or 8 weeks </w:t>
            </w:r>
          </w:p>
        </w:tc>
        <w:tc>
          <w:tcPr>
            <w:tcW w:w="0" w:type="auto"/>
            <w:vAlign w:val="center"/>
            <w:hideMark/>
          </w:tcPr>
          <w:p w14:paraId="40C0F101"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Week 5, 7 or 9 </w:t>
            </w:r>
          </w:p>
        </w:tc>
        <w:tc>
          <w:tcPr>
            <w:tcW w:w="0" w:type="auto"/>
            <w:vAlign w:val="center"/>
            <w:hideMark/>
          </w:tcPr>
          <w:p w14:paraId="44EA8629"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9 </w:t>
            </w:r>
          </w:p>
        </w:tc>
        <w:tc>
          <w:tcPr>
            <w:tcW w:w="0" w:type="auto"/>
            <w:vAlign w:val="center"/>
            <w:hideMark/>
          </w:tcPr>
          <w:p w14:paraId="7429A1B7"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45 </w:t>
            </w:r>
          </w:p>
        </w:tc>
      </w:tr>
      <w:tr w:rsidR="00B35FE5" w:rsidRPr="00B35FE5" w14:paraId="493FDF0F" w14:textId="77777777" w:rsidTr="00B35FE5">
        <w:trPr>
          <w:tblCellSpacing w:w="15" w:type="dxa"/>
        </w:trPr>
        <w:tc>
          <w:tcPr>
            <w:tcW w:w="0" w:type="auto"/>
            <w:vAlign w:val="center"/>
            <w:hideMark/>
          </w:tcPr>
          <w:p w14:paraId="08E92AA2"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Rituximab </w:t>
            </w:r>
          </w:p>
        </w:tc>
        <w:tc>
          <w:tcPr>
            <w:tcW w:w="0" w:type="auto"/>
            <w:vAlign w:val="center"/>
            <w:hideMark/>
          </w:tcPr>
          <w:p w14:paraId="74154D68"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Two doses 2 weeks apart, no more frequent than every 6 months </w:t>
            </w:r>
          </w:p>
        </w:tc>
        <w:tc>
          <w:tcPr>
            <w:tcW w:w="0" w:type="auto"/>
            <w:vAlign w:val="center"/>
            <w:hideMark/>
          </w:tcPr>
          <w:p w14:paraId="704796B3"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Months 4–7 </w:t>
            </w:r>
          </w:p>
        </w:tc>
        <w:tc>
          <w:tcPr>
            <w:tcW w:w="0" w:type="auto"/>
            <w:vAlign w:val="center"/>
            <w:hideMark/>
          </w:tcPr>
          <w:p w14:paraId="056D3E0D"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18 </w:t>
            </w:r>
          </w:p>
        </w:tc>
        <w:tc>
          <w:tcPr>
            <w:tcW w:w="0" w:type="auto"/>
            <w:vAlign w:val="center"/>
            <w:hideMark/>
          </w:tcPr>
          <w:p w14:paraId="4AF2374A"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90 </w:t>
            </w:r>
          </w:p>
        </w:tc>
      </w:tr>
      <w:tr w:rsidR="00B35FE5" w:rsidRPr="00B35FE5" w14:paraId="65074306" w14:textId="77777777" w:rsidTr="00B35FE5">
        <w:trPr>
          <w:tblCellSpacing w:w="15" w:type="dxa"/>
        </w:trPr>
        <w:tc>
          <w:tcPr>
            <w:tcW w:w="0" w:type="auto"/>
            <w:vAlign w:val="center"/>
            <w:hideMark/>
          </w:tcPr>
          <w:p w14:paraId="325D1FBC"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 xml:space="preserve">Tocilizumab </w:t>
            </w:r>
            <w:r w:rsidRPr="00B35FE5">
              <w:rPr>
                <w:szCs w:val="24"/>
                <w:lang w:eastAsia="en-GB"/>
              </w:rPr>
              <w:lastRenderedPageBreak/>
              <w:t>i.v. </w:t>
            </w:r>
          </w:p>
        </w:tc>
        <w:tc>
          <w:tcPr>
            <w:tcW w:w="0" w:type="auto"/>
            <w:vAlign w:val="center"/>
            <w:hideMark/>
          </w:tcPr>
          <w:p w14:paraId="39974E9B"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lastRenderedPageBreak/>
              <w:t>Every 4 weeks </w:t>
            </w:r>
          </w:p>
        </w:tc>
        <w:tc>
          <w:tcPr>
            <w:tcW w:w="0" w:type="auto"/>
            <w:vAlign w:val="center"/>
            <w:hideMark/>
          </w:tcPr>
          <w:p w14:paraId="7CAF6BF1"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Week 5 </w:t>
            </w:r>
          </w:p>
        </w:tc>
        <w:tc>
          <w:tcPr>
            <w:tcW w:w="0" w:type="auto"/>
            <w:vAlign w:val="center"/>
            <w:hideMark/>
          </w:tcPr>
          <w:p w14:paraId="70CD025F"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 </w:t>
            </w:r>
          </w:p>
        </w:tc>
        <w:tc>
          <w:tcPr>
            <w:tcW w:w="0" w:type="auto"/>
            <w:vAlign w:val="center"/>
            <w:hideMark/>
          </w:tcPr>
          <w:p w14:paraId="03E0E03D"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 </w:t>
            </w:r>
          </w:p>
        </w:tc>
      </w:tr>
      <w:tr w:rsidR="00B35FE5" w:rsidRPr="00B35FE5" w14:paraId="46BCFECA" w14:textId="77777777" w:rsidTr="00B35FE5">
        <w:trPr>
          <w:tblCellSpacing w:w="15" w:type="dxa"/>
        </w:trPr>
        <w:tc>
          <w:tcPr>
            <w:tcW w:w="0" w:type="auto"/>
            <w:vAlign w:val="center"/>
            <w:hideMark/>
          </w:tcPr>
          <w:p w14:paraId="62A3263A"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lastRenderedPageBreak/>
              <w:t> </w:t>
            </w:r>
            <w:r w:rsidRPr="00B35FE5">
              <w:rPr>
                <w:szCs w:val="24"/>
                <w:lang w:eastAsia="en-GB"/>
              </w:rPr>
              <w:t> </w:t>
            </w:r>
            <w:r w:rsidRPr="00B35FE5">
              <w:rPr>
                <w:szCs w:val="24"/>
                <w:lang w:eastAsia="en-GB"/>
              </w:rPr>
              <w:t> </w:t>
            </w:r>
            <w:r w:rsidRPr="00B35FE5">
              <w:rPr>
                <w:szCs w:val="24"/>
                <w:lang w:eastAsia="en-GB"/>
              </w:rPr>
              <w:t> </w:t>
            </w:r>
            <w:r w:rsidRPr="00B35FE5">
              <w:rPr>
                <w:szCs w:val="24"/>
                <w:lang w:eastAsia="en-GB"/>
              </w:rPr>
              <w:t>4mg/kg </w:t>
            </w:r>
          </w:p>
        </w:tc>
        <w:tc>
          <w:tcPr>
            <w:tcW w:w="0" w:type="auto"/>
            <w:vAlign w:val="center"/>
            <w:hideMark/>
          </w:tcPr>
          <w:p w14:paraId="27FE723D"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 </w:t>
            </w:r>
          </w:p>
        </w:tc>
        <w:tc>
          <w:tcPr>
            <w:tcW w:w="0" w:type="auto"/>
            <w:vAlign w:val="center"/>
            <w:hideMark/>
          </w:tcPr>
          <w:p w14:paraId="6771489A"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 </w:t>
            </w:r>
          </w:p>
        </w:tc>
        <w:tc>
          <w:tcPr>
            <w:tcW w:w="0" w:type="auto"/>
            <w:vAlign w:val="center"/>
            <w:hideMark/>
          </w:tcPr>
          <w:p w14:paraId="7FFB2FDB"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11 </w:t>
            </w:r>
          </w:p>
        </w:tc>
        <w:tc>
          <w:tcPr>
            <w:tcW w:w="0" w:type="auto"/>
            <w:vAlign w:val="center"/>
            <w:hideMark/>
          </w:tcPr>
          <w:p w14:paraId="6267E4AF"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55 </w:t>
            </w:r>
          </w:p>
        </w:tc>
      </w:tr>
      <w:tr w:rsidR="00B35FE5" w:rsidRPr="00B35FE5" w14:paraId="43A7F1CA" w14:textId="77777777" w:rsidTr="00B35FE5">
        <w:trPr>
          <w:tblCellSpacing w:w="15" w:type="dxa"/>
        </w:trPr>
        <w:tc>
          <w:tcPr>
            <w:tcW w:w="0" w:type="auto"/>
            <w:vAlign w:val="center"/>
            <w:hideMark/>
          </w:tcPr>
          <w:p w14:paraId="5B8776D4"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 </w:t>
            </w:r>
            <w:r w:rsidRPr="00B35FE5">
              <w:rPr>
                <w:szCs w:val="24"/>
                <w:lang w:eastAsia="en-GB"/>
              </w:rPr>
              <w:t> </w:t>
            </w:r>
            <w:r w:rsidRPr="00B35FE5">
              <w:rPr>
                <w:szCs w:val="24"/>
                <w:lang w:eastAsia="en-GB"/>
              </w:rPr>
              <w:t> </w:t>
            </w:r>
            <w:r w:rsidRPr="00B35FE5">
              <w:rPr>
                <w:szCs w:val="24"/>
                <w:lang w:eastAsia="en-GB"/>
              </w:rPr>
              <w:t> </w:t>
            </w:r>
            <w:r w:rsidRPr="00B35FE5">
              <w:rPr>
                <w:szCs w:val="24"/>
                <w:lang w:eastAsia="en-GB"/>
              </w:rPr>
              <w:t>8mg/kg </w:t>
            </w:r>
          </w:p>
        </w:tc>
        <w:tc>
          <w:tcPr>
            <w:tcW w:w="0" w:type="auto"/>
            <w:vAlign w:val="center"/>
            <w:hideMark/>
          </w:tcPr>
          <w:p w14:paraId="76E68EFC"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 </w:t>
            </w:r>
          </w:p>
        </w:tc>
        <w:tc>
          <w:tcPr>
            <w:tcW w:w="0" w:type="auto"/>
            <w:vAlign w:val="center"/>
            <w:hideMark/>
          </w:tcPr>
          <w:p w14:paraId="06084FF0"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 </w:t>
            </w:r>
          </w:p>
        </w:tc>
        <w:tc>
          <w:tcPr>
            <w:tcW w:w="0" w:type="auto"/>
            <w:vAlign w:val="center"/>
            <w:hideMark/>
          </w:tcPr>
          <w:p w14:paraId="07EF5D5E"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13 </w:t>
            </w:r>
          </w:p>
        </w:tc>
        <w:tc>
          <w:tcPr>
            <w:tcW w:w="0" w:type="auto"/>
            <w:vAlign w:val="center"/>
            <w:hideMark/>
          </w:tcPr>
          <w:p w14:paraId="04DD94F3"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65 </w:t>
            </w:r>
          </w:p>
        </w:tc>
      </w:tr>
      <w:tr w:rsidR="00B35FE5" w:rsidRPr="00B35FE5" w14:paraId="27428526" w14:textId="77777777" w:rsidTr="00B35FE5">
        <w:trPr>
          <w:tblCellSpacing w:w="15" w:type="dxa"/>
        </w:trPr>
        <w:tc>
          <w:tcPr>
            <w:tcW w:w="0" w:type="auto"/>
            <w:vAlign w:val="center"/>
            <w:hideMark/>
          </w:tcPr>
          <w:p w14:paraId="1CF39F1D"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Tocilizumab s.c. </w:t>
            </w:r>
          </w:p>
        </w:tc>
        <w:tc>
          <w:tcPr>
            <w:tcW w:w="0" w:type="auto"/>
            <w:vAlign w:val="center"/>
            <w:hideMark/>
          </w:tcPr>
          <w:p w14:paraId="492BCF03"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Every week </w:t>
            </w:r>
          </w:p>
        </w:tc>
        <w:tc>
          <w:tcPr>
            <w:tcW w:w="0" w:type="auto"/>
            <w:vAlign w:val="center"/>
            <w:hideMark/>
          </w:tcPr>
          <w:p w14:paraId="30B177C3"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Week 3 </w:t>
            </w:r>
          </w:p>
        </w:tc>
        <w:tc>
          <w:tcPr>
            <w:tcW w:w="0" w:type="auto"/>
            <w:vAlign w:val="center"/>
            <w:hideMark/>
          </w:tcPr>
          <w:p w14:paraId="234C4D3B"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13 </w:t>
            </w:r>
          </w:p>
        </w:tc>
        <w:tc>
          <w:tcPr>
            <w:tcW w:w="0" w:type="auto"/>
            <w:vAlign w:val="center"/>
            <w:hideMark/>
          </w:tcPr>
          <w:p w14:paraId="413B9EA9"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65 </w:t>
            </w:r>
          </w:p>
        </w:tc>
      </w:tr>
      <w:tr w:rsidR="00B35FE5" w:rsidRPr="00B35FE5" w14:paraId="03E30C12" w14:textId="77777777" w:rsidTr="00B35FE5">
        <w:trPr>
          <w:tblCellSpacing w:w="15" w:type="dxa"/>
        </w:trPr>
        <w:tc>
          <w:tcPr>
            <w:tcW w:w="0" w:type="auto"/>
            <w:vAlign w:val="center"/>
            <w:hideMark/>
          </w:tcPr>
          <w:p w14:paraId="3DFACEC8"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Ustekinumab </w:t>
            </w:r>
          </w:p>
        </w:tc>
        <w:tc>
          <w:tcPr>
            <w:tcW w:w="0" w:type="auto"/>
            <w:vAlign w:val="center"/>
            <w:hideMark/>
          </w:tcPr>
          <w:p w14:paraId="59DBAF8A"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Every 12 weeks </w:t>
            </w:r>
          </w:p>
        </w:tc>
        <w:tc>
          <w:tcPr>
            <w:tcW w:w="0" w:type="auto"/>
            <w:vAlign w:val="center"/>
            <w:hideMark/>
          </w:tcPr>
          <w:p w14:paraId="5BEA15A7"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Week 13 </w:t>
            </w:r>
          </w:p>
        </w:tc>
        <w:tc>
          <w:tcPr>
            <w:tcW w:w="0" w:type="auto"/>
            <w:vAlign w:val="center"/>
            <w:hideMark/>
          </w:tcPr>
          <w:p w14:paraId="3E4D7D50"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21 </w:t>
            </w:r>
          </w:p>
        </w:tc>
        <w:tc>
          <w:tcPr>
            <w:tcW w:w="0" w:type="auto"/>
            <w:vAlign w:val="center"/>
            <w:hideMark/>
          </w:tcPr>
          <w:p w14:paraId="3DCD3124" w14:textId="77777777" w:rsidR="00B35FE5" w:rsidRPr="00B35FE5" w:rsidRDefault="00B35FE5" w:rsidP="00B35FE5">
            <w:pPr>
              <w:overflowPunct/>
              <w:autoSpaceDE/>
              <w:autoSpaceDN/>
              <w:adjustRightInd/>
              <w:textAlignment w:val="auto"/>
              <w:rPr>
                <w:szCs w:val="24"/>
                <w:lang w:eastAsia="en-GB"/>
              </w:rPr>
            </w:pPr>
            <w:r w:rsidRPr="00B35FE5">
              <w:rPr>
                <w:szCs w:val="24"/>
                <w:lang w:eastAsia="en-GB"/>
              </w:rPr>
              <w:t>105 </w:t>
            </w:r>
          </w:p>
        </w:tc>
      </w:tr>
    </w:tbl>
    <w:p w14:paraId="4F8D40C0" w14:textId="77777777" w:rsidR="00B35FE5" w:rsidRDefault="00B35FE5" w:rsidP="008C2BD4">
      <w:pPr>
        <w:overflowPunct/>
        <w:autoSpaceDE/>
        <w:autoSpaceDN/>
        <w:adjustRightInd/>
        <w:textAlignment w:val="auto"/>
        <w:rPr>
          <w:b/>
          <w:szCs w:val="24"/>
        </w:rPr>
      </w:pPr>
    </w:p>
    <w:p w14:paraId="0BEB044C" w14:textId="57BC3857" w:rsidR="008C2BD4" w:rsidRDefault="008C2BD4" w:rsidP="008C2BD4">
      <w:pPr>
        <w:overflowPunct/>
        <w:autoSpaceDE/>
        <w:autoSpaceDN/>
        <w:adjustRightInd/>
        <w:textAlignment w:val="auto"/>
        <w:rPr>
          <w:b/>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2"/>
        <w:gridCol w:w="1196"/>
        <w:gridCol w:w="4283"/>
        <w:gridCol w:w="1094"/>
        <w:gridCol w:w="1161"/>
      </w:tblGrid>
      <w:tr w:rsidR="00997119" w:rsidRPr="00B35FE5" w14:paraId="729C0A60" w14:textId="77777777" w:rsidTr="00332E72">
        <w:trPr>
          <w:tblHeader/>
          <w:tblCellSpacing w:w="15" w:type="dxa"/>
        </w:trPr>
        <w:tc>
          <w:tcPr>
            <w:tcW w:w="0" w:type="auto"/>
            <w:vAlign w:val="center"/>
            <w:hideMark/>
          </w:tcPr>
          <w:p w14:paraId="1522072D" w14:textId="77777777" w:rsidR="00997119" w:rsidRPr="00B35FE5" w:rsidRDefault="00997119" w:rsidP="00332E72">
            <w:pPr>
              <w:overflowPunct/>
              <w:autoSpaceDE/>
              <w:autoSpaceDN/>
              <w:adjustRightInd/>
              <w:jc w:val="center"/>
              <w:textAlignment w:val="auto"/>
              <w:rPr>
                <w:b/>
                <w:bCs/>
                <w:szCs w:val="24"/>
                <w:lang w:eastAsia="en-GB"/>
              </w:rPr>
            </w:pPr>
            <w:r w:rsidRPr="00B35FE5">
              <w:rPr>
                <w:b/>
                <w:bCs/>
                <w:szCs w:val="24"/>
                <w:lang w:eastAsia="en-GB"/>
              </w:rPr>
              <w:t>Drug </w:t>
            </w:r>
          </w:p>
        </w:tc>
        <w:tc>
          <w:tcPr>
            <w:tcW w:w="0" w:type="auto"/>
            <w:vAlign w:val="center"/>
            <w:hideMark/>
          </w:tcPr>
          <w:p w14:paraId="557A0A4F" w14:textId="77777777" w:rsidR="00997119" w:rsidRPr="00B35FE5" w:rsidRDefault="00997119" w:rsidP="00332E72">
            <w:pPr>
              <w:overflowPunct/>
              <w:autoSpaceDE/>
              <w:autoSpaceDN/>
              <w:adjustRightInd/>
              <w:jc w:val="center"/>
              <w:textAlignment w:val="auto"/>
              <w:rPr>
                <w:b/>
                <w:bCs/>
                <w:szCs w:val="24"/>
                <w:lang w:eastAsia="en-GB"/>
              </w:rPr>
            </w:pPr>
            <w:r w:rsidRPr="00B35FE5">
              <w:rPr>
                <w:b/>
                <w:bCs/>
                <w:szCs w:val="24"/>
                <w:lang w:eastAsia="en-GB"/>
              </w:rPr>
              <w:t>Dosing interval </w:t>
            </w:r>
          </w:p>
        </w:tc>
        <w:tc>
          <w:tcPr>
            <w:tcW w:w="0" w:type="auto"/>
            <w:vAlign w:val="center"/>
            <w:hideMark/>
          </w:tcPr>
          <w:p w14:paraId="45EA650C" w14:textId="77777777" w:rsidR="00997119" w:rsidRPr="00B35FE5" w:rsidRDefault="00997119" w:rsidP="00332E72">
            <w:pPr>
              <w:overflowPunct/>
              <w:autoSpaceDE/>
              <w:autoSpaceDN/>
              <w:adjustRightInd/>
              <w:jc w:val="center"/>
              <w:textAlignment w:val="auto"/>
              <w:rPr>
                <w:b/>
                <w:bCs/>
                <w:szCs w:val="24"/>
                <w:lang w:eastAsia="en-GB"/>
              </w:rPr>
            </w:pPr>
            <w:r w:rsidRPr="00B35FE5">
              <w:rPr>
                <w:b/>
                <w:bCs/>
                <w:szCs w:val="24"/>
                <w:lang w:eastAsia="en-GB"/>
              </w:rPr>
              <w:t>Period in which surgery should be scheduled (relative to last biologic dose administered) </w:t>
            </w:r>
          </w:p>
        </w:tc>
        <w:tc>
          <w:tcPr>
            <w:tcW w:w="0" w:type="auto"/>
            <w:vAlign w:val="center"/>
            <w:hideMark/>
          </w:tcPr>
          <w:p w14:paraId="4C3349DC" w14:textId="77777777" w:rsidR="00997119" w:rsidRPr="00B35FE5" w:rsidRDefault="00997119" w:rsidP="00332E72">
            <w:pPr>
              <w:overflowPunct/>
              <w:autoSpaceDE/>
              <w:autoSpaceDN/>
              <w:adjustRightInd/>
              <w:jc w:val="center"/>
              <w:textAlignment w:val="auto"/>
              <w:rPr>
                <w:b/>
                <w:bCs/>
                <w:szCs w:val="24"/>
                <w:lang w:eastAsia="en-GB"/>
              </w:rPr>
            </w:pPr>
            <w:r w:rsidRPr="00B35FE5">
              <w:rPr>
                <w:b/>
                <w:bCs/>
                <w:szCs w:val="24"/>
                <w:lang w:eastAsia="en-GB"/>
              </w:rPr>
              <w:t>One half-life, days </w:t>
            </w:r>
          </w:p>
        </w:tc>
        <w:tc>
          <w:tcPr>
            <w:tcW w:w="0" w:type="auto"/>
            <w:vAlign w:val="center"/>
            <w:hideMark/>
          </w:tcPr>
          <w:p w14:paraId="66A56838" w14:textId="77777777" w:rsidR="00997119" w:rsidRPr="00B35FE5" w:rsidRDefault="00997119" w:rsidP="00332E72">
            <w:pPr>
              <w:overflowPunct/>
              <w:autoSpaceDE/>
              <w:autoSpaceDN/>
              <w:adjustRightInd/>
              <w:jc w:val="center"/>
              <w:textAlignment w:val="auto"/>
              <w:rPr>
                <w:b/>
                <w:bCs/>
                <w:szCs w:val="24"/>
                <w:lang w:eastAsia="en-GB"/>
              </w:rPr>
            </w:pPr>
            <w:r w:rsidRPr="00B35FE5">
              <w:rPr>
                <w:b/>
                <w:bCs/>
                <w:szCs w:val="24"/>
                <w:lang w:eastAsia="en-GB"/>
              </w:rPr>
              <w:t>Five half-lives, days </w:t>
            </w:r>
          </w:p>
        </w:tc>
      </w:tr>
      <w:tr w:rsidR="00997119" w:rsidRPr="00B35FE5" w14:paraId="48E35EA1" w14:textId="77777777" w:rsidTr="00332E72">
        <w:trPr>
          <w:tblHeader/>
          <w:tblCellSpacing w:w="15" w:type="dxa"/>
        </w:trPr>
        <w:tc>
          <w:tcPr>
            <w:tcW w:w="0" w:type="auto"/>
            <w:vAlign w:val="center"/>
          </w:tcPr>
          <w:p w14:paraId="351FEA4D" w14:textId="4F50CE26" w:rsidR="00997119" w:rsidRPr="00FB0308" w:rsidRDefault="00997119" w:rsidP="00332E72">
            <w:pPr>
              <w:overflowPunct/>
              <w:autoSpaceDE/>
              <w:autoSpaceDN/>
              <w:adjustRightInd/>
              <w:jc w:val="center"/>
              <w:textAlignment w:val="auto"/>
              <w:rPr>
                <w:bCs/>
                <w:szCs w:val="24"/>
                <w:lang w:eastAsia="en-GB"/>
              </w:rPr>
            </w:pPr>
            <w:r w:rsidRPr="00FB0308">
              <w:rPr>
                <w:bCs/>
                <w:szCs w:val="24"/>
                <w:lang w:eastAsia="en-GB"/>
              </w:rPr>
              <w:t>Ixekizumab</w:t>
            </w:r>
          </w:p>
        </w:tc>
        <w:tc>
          <w:tcPr>
            <w:tcW w:w="0" w:type="auto"/>
            <w:vAlign w:val="center"/>
          </w:tcPr>
          <w:p w14:paraId="246C594D" w14:textId="6F5D2E4F" w:rsidR="00997119" w:rsidRPr="00FB0308" w:rsidRDefault="00997119" w:rsidP="00332E72">
            <w:pPr>
              <w:overflowPunct/>
              <w:autoSpaceDE/>
              <w:autoSpaceDN/>
              <w:adjustRightInd/>
              <w:jc w:val="center"/>
              <w:textAlignment w:val="auto"/>
              <w:rPr>
                <w:bCs/>
                <w:szCs w:val="24"/>
                <w:lang w:eastAsia="en-GB"/>
              </w:rPr>
            </w:pPr>
            <w:r w:rsidRPr="00FB0308">
              <w:rPr>
                <w:bCs/>
                <w:szCs w:val="24"/>
                <w:lang w:eastAsia="en-GB"/>
              </w:rPr>
              <w:t>Every 4 weeks</w:t>
            </w:r>
          </w:p>
        </w:tc>
        <w:tc>
          <w:tcPr>
            <w:tcW w:w="0" w:type="auto"/>
            <w:vAlign w:val="center"/>
          </w:tcPr>
          <w:p w14:paraId="6BAAA3D4" w14:textId="4DD43E63" w:rsidR="00997119" w:rsidRPr="00FB0308" w:rsidRDefault="00356784" w:rsidP="00332E72">
            <w:pPr>
              <w:overflowPunct/>
              <w:autoSpaceDE/>
              <w:autoSpaceDN/>
              <w:adjustRightInd/>
              <w:jc w:val="center"/>
              <w:textAlignment w:val="auto"/>
              <w:rPr>
                <w:bCs/>
                <w:szCs w:val="24"/>
                <w:lang w:eastAsia="en-GB"/>
              </w:rPr>
            </w:pPr>
            <w:r w:rsidRPr="00FB0308">
              <w:rPr>
                <w:bCs/>
                <w:szCs w:val="24"/>
                <w:lang w:eastAsia="en-GB"/>
              </w:rPr>
              <w:t>Week 5</w:t>
            </w:r>
          </w:p>
        </w:tc>
        <w:tc>
          <w:tcPr>
            <w:tcW w:w="0" w:type="auto"/>
            <w:vAlign w:val="center"/>
          </w:tcPr>
          <w:p w14:paraId="0C5BF973" w14:textId="08D2120A" w:rsidR="00997119" w:rsidRPr="00FB0308" w:rsidRDefault="00997119" w:rsidP="00332E72">
            <w:pPr>
              <w:overflowPunct/>
              <w:autoSpaceDE/>
              <w:autoSpaceDN/>
              <w:adjustRightInd/>
              <w:jc w:val="center"/>
              <w:textAlignment w:val="auto"/>
              <w:rPr>
                <w:bCs/>
                <w:szCs w:val="24"/>
                <w:lang w:eastAsia="en-GB"/>
              </w:rPr>
            </w:pPr>
            <w:r w:rsidRPr="00FB0308">
              <w:rPr>
                <w:bCs/>
                <w:szCs w:val="24"/>
                <w:lang w:eastAsia="en-GB"/>
              </w:rPr>
              <w:t>13</w:t>
            </w:r>
          </w:p>
        </w:tc>
        <w:tc>
          <w:tcPr>
            <w:tcW w:w="0" w:type="auto"/>
            <w:vAlign w:val="center"/>
          </w:tcPr>
          <w:p w14:paraId="3F7D66F3" w14:textId="5AED2717" w:rsidR="00997119" w:rsidRPr="00FB0308" w:rsidRDefault="00717EEC" w:rsidP="00332E72">
            <w:pPr>
              <w:overflowPunct/>
              <w:autoSpaceDE/>
              <w:autoSpaceDN/>
              <w:adjustRightInd/>
              <w:jc w:val="center"/>
              <w:textAlignment w:val="auto"/>
              <w:rPr>
                <w:bCs/>
                <w:szCs w:val="24"/>
                <w:lang w:eastAsia="en-GB"/>
              </w:rPr>
            </w:pPr>
            <w:r w:rsidRPr="00FB0308">
              <w:rPr>
                <w:bCs/>
                <w:szCs w:val="24"/>
                <w:lang w:eastAsia="en-GB"/>
              </w:rPr>
              <w:t>65</w:t>
            </w:r>
          </w:p>
        </w:tc>
      </w:tr>
      <w:tr w:rsidR="00997119" w:rsidRPr="00B35FE5" w14:paraId="709BF451" w14:textId="77777777" w:rsidTr="00332E72">
        <w:trPr>
          <w:tblHeader/>
          <w:tblCellSpacing w:w="15" w:type="dxa"/>
        </w:trPr>
        <w:tc>
          <w:tcPr>
            <w:tcW w:w="0" w:type="auto"/>
            <w:vAlign w:val="center"/>
          </w:tcPr>
          <w:p w14:paraId="4D87DBB3" w14:textId="62604032" w:rsidR="00997119" w:rsidRPr="00FB0308" w:rsidRDefault="00997119" w:rsidP="00332E72">
            <w:pPr>
              <w:overflowPunct/>
              <w:autoSpaceDE/>
              <w:autoSpaceDN/>
              <w:adjustRightInd/>
              <w:jc w:val="center"/>
              <w:textAlignment w:val="auto"/>
              <w:rPr>
                <w:bCs/>
                <w:szCs w:val="24"/>
                <w:lang w:eastAsia="en-GB"/>
              </w:rPr>
            </w:pPr>
            <w:r w:rsidRPr="00FB0308">
              <w:rPr>
                <w:bCs/>
                <w:szCs w:val="24"/>
                <w:lang w:eastAsia="en-GB"/>
              </w:rPr>
              <w:t>Sarilumab</w:t>
            </w:r>
          </w:p>
        </w:tc>
        <w:tc>
          <w:tcPr>
            <w:tcW w:w="0" w:type="auto"/>
            <w:vAlign w:val="center"/>
          </w:tcPr>
          <w:p w14:paraId="70044EAC" w14:textId="328CE6F2" w:rsidR="00997119" w:rsidRPr="00FB0308" w:rsidRDefault="00997119" w:rsidP="00332E72">
            <w:pPr>
              <w:overflowPunct/>
              <w:autoSpaceDE/>
              <w:autoSpaceDN/>
              <w:adjustRightInd/>
              <w:jc w:val="center"/>
              <w:textAlignment w:val="auto"/>
              <w:rPr>
                <w:bCs/>
                <w:szCs w:val="24"/>
                <w:lang w:eastAsia="en-GB"/>
              </w:rPr>
            </w:pPr>
            <w:r w:rsidRPr="00FB0308">
              <w:rPr>
                <w:bCs/>
                <w:szCs w:val="24"/>
                <w:lang w:eastAsia="en-GB"/>
              </w:rPr>
              <w:t>Every 2 weeks</w:t>
            </w:r>
          </w:p>
        </w:tc>
        <w:tc>
          <w:tcPr>
            <w:tcW w:w="0" w:type="auto"/>
            <w:vAlign w:val="center"/>
          </w:tcPr>
          <w:p w14:paraId="704B04DB" w14:textId="626A49BC" w:rsidR="00997119" w:rsidRPr="00FB0308" w:rsidRDefault="00356784" w:rsidP="00332E72">
            <w:pPr>
              <w:overflowPunct/>
              <w:autoSpaceDE/>
              <w:autoSpaceDN/>
              <w:adjustRightInd/>
              <w:jc w:val="center"/>
              <w:textAlignment w:val="auto"/>
              <w:rPr>
                <w:bCs/>
                <w:szCs w:val="24"/>
                <w:lang w:eastAsia="en-GB"/>
              </w:rPr>
            </w:pPr>
            <w:r w:rsidRPr="00FB0308">
              <w:rPr>
                <w:bCs/>
                <w:szCs w:val="24"/>
                <w:lang w:eastAsia="en-GB"/>
              </w:rPr>
              <w:t>Week 3</w:t>
            </w:r>
          </w:p>
        </w:tc>
        <w:tc>
          <w:tcPr>
            <w:tcW w:w="0" w:type="auto"/>
            <w:vAlign w:val="center"/>
          </w:tcPr>
          <w:p w14:paraId="090646D0" w14:textId="7B0C4CBD" w:rsidR="00997119" w:rsidRPr="00FB0308" w:rsidRDefault="00997119" w:rsidP="00332E72">
            <w:pPr>
              <w:overflowPunct/>
              <w:autoSpaceDE/>
              <w:autoSpaceDN/>
              <w:adjustRightInd/>
              <w:jc w:val="center"/>
              <w:textAlignment w:val="auto"/>
              <w:rPr>
                <w:bCs/>
                <w:szCs w:val="24"/>
                <w:lang w:eastAsia="en-GB"/>
              </w:rPr>
            </w:pPr>
            <w:r w:rsidRPr="00FB0308">
              <w:rPr>
                <w:bCs/>
                <w:szCs w:val="24"/>
                <w:lang w:eastAsia="en-GB"/>
              </w:rPr>
              <w:t>21</w:t>
            </w:r>
          </w:p>
        </w:tc>
        <w:tc>
          <w:tcPr>
            <w:tcW w:w="0" w:type="auto"/>
            <w:vAlign w:val="center"/>
          </w:tcPr>
          <w:p w14:paraId="50D759C6" w14:textId="570178B1" w:rsidR="00997119" w:rsidRPr="00FB0308" w:rsidRDefault="00717EEC" w:rsidP="00332E72">
            <w:pPr>
              <w:overflowPunct/>
              <w:autoSpaceDE/>
              <w:autoSpaceDN/>
              <w:adjustRightInd/>
              <w:jc w:val="center"/>
              <w:textAlignment w:val="auto"/>
              <w:rPr>
                <w:bCs/>
                <w:szCs w:val="24"/>
                <w:lang w:eastAsia="en-GB"/>
              </w:rPr>
            </w:pPr>
            <w:r w:rsidRPr="00FB0308">
              <w:rPr>
                <w:bCs/>
                <w:szCs w:val="24"/>
                <w:lang w:eastAsia="en-GB"/>
              </w:rPr>
              <w:t>105</w:t>
            </w:r>
          </w:p>
        </w:tc>
      </w:tr>
      <w:tr w:rsidR="00997119" w:rsidRPr="00B35FE5" w14:paraId="72354126" w14:textId="77777777" w:rsidTr="00332E72">
        <w:trPr>
          <w:tblHeader/>
          <w:tblCellSpacing w:w="15" w:type="dxa"/>
        </w:trPr>
        <w:tc>
          <w:tcPr>
            <w:tcW w:w="0" w:type="auto"/>
            <w:vAlign w:val="center"/>
          </w:tcPr>
          <w:p w14:paraId="2D1AA854" w14:textId="353E1235" w:rsidR="00997119" w:rsidRPr="00FB0308" w:rsidRDefault="00997119" w:rsidP="00332E72">
            <w:pPr>
              <w:overflowPunct/>
              <w:autoSpaceDE/>
              <w:autoSpaceDN/>
              <w:adjustRightInd/>
              <w:jc w:val="center"/>
              <w:textAlignment w:val="auto"/>
              <w:rPr>
                <w:bCs/>
                <w:szCs w:val="24"/>
                <w:lang w:eastAsia="en-GB"/>
              </w:rPr>
            </w:pPr>
            <w:r w:rsidRPr="00FB0308">
              <w:rPr>
                <w:bCs/>
                <w:szCs w:val="24"/>
                <w:lang w:eastAsia="en-GB"/>
              </w:rPr>
              <w:t xml:space="preserve">Secukinumab </w:t>
            </w:r>
          </w:p>
        </w:tc>
        <w:tc>
          <w:tcPr>
            <w:tcW w:w="0" w:type="auto"/>
            <w:vAlign w:val="center"/>
          </w:tcPr>
          <w:p w14:paraId="72B85D9A" w14:textId="1C89B52D" w:rsidR="00997119" w:rsidRPr="00FB0308" w:rsidRDefault="00997119" w:rsidP="00332E72">
            <w:pPr>
              <w:overflowPunct/>
              <w:autoSpaceDE/>
              <w:autoSpaceDN/>
              <w:adjustRightInd/>
              <w:jc w:val="center"/>
              <w:textAlignment w:val="auto"/>
              <w:rPr>
                <w:bCs/>
                <w:szCs w:val="24"/>
                <w:lang w:eastAsia="en-GB"/>
              </w:rPr>
            </w:pPr>
            <w:r w:rsidRPr="00FB0308">
              <w:rPr>
                <w:bCs/>
                <w:szCs w:val="24"/>
                <w:lang w:eastAsia="en-GB"/>
              </w:rPr>
              <w:t>Every 4 weeks</w:t>
            </w:r>
          </w:p>
        </w:tc>
        <w:tc>
          <w:tcPr>
            <w:tcW w:w="0" w:type="auto"/>
            <w:vAlign w:val="center"/>
          </w:tcPr>
          <w:p w14:paraId="25EBDAE7" w14:textId="229B9D7F" w:rsidR="00997119" w:rsidRPr="00FB0308" w:rsidRDefault="00356784" w:rsidP="00332E72">
            <w:pPr>
              <w:overflowPunct/>
              <w:autoSpaceDE/>
              <w:autoSpaceDN/>
              <w:adjustRightInd/>
              <w:jc w:val="center"/>
              <w:textAlignment w:val="auto"/>
              <w:rPr>
                <w:bCs/>
                <w:szCs w:val="24"/>
                <w:lang w:eastAsia="en-GB"/>
              </w:rPr>
            </w:pPr>
            <w:r w:rsidRPr="00FB0308">
              <w:rPr>
                <w:bCs/>
                <w:szCs w:val="24"/>
                <w:lang w:eastAsia="en-GB"/>
              </w:rPr>
              <w:t>Week 5</w:t>
            </w:r>
          </w:p>
        </w:tc>
        <w:tc>
          <w:tcPr>
            <w:tcW w:w="0" w:type="auto"/>
            <w:vAlign w:val="center"/>
          </w:tcPr>
          <w:p w14:paraId="6439906E" w14:textId="79E7243A" w:rsidR="00997119" w:rsidRPr="00FB0308" w:rsidRDefault="00997119" w:rsidP="00332E72">
            <w:pPr>
              <w:overflowPunct/>
              <w:autoSpaceDE/>
              <w:autoSpaceDN/>
              <w:adjustRightInd/>
              <w:jc w:val="center"/>
              <w:textAlignment w:val="auto"/>
              <w:rPr>
                <w:bCs/>
                <w:szCs w:val="24"/>
                <w:lang w:eastAsia="en-GB"/>
              </w:rPr>
            </w:pPr>
            <w:r w:rsidRPr="00FB0308">
              <w:rPr>
                <w:bCs/>
                <w:szCs w:val="24"/>
                <w:lang w:eastAsia="en-GB"/>
              </w:rPr>
              <w:t>27</w:t>
            </w:r>
          </w:p>
        </w:tc>
        <w:tc>
          <w:tcPr>
            <w:tcW w:w="0" w:type="auto"/>
            <w:vAlign w:val="center"/>
          </w:tcPr>
          <w:p w14:paraId="0F66B4DD" w14:textId="6E80083F" w:rsidR="00997119" w:rsidRPr="00FB0308" w:rsidRDefault="00717EEC" w:rsidP="00332E72">
            <w:pPr>
              <w:overflowPunct/>
              <w:autoSpaceDE/>
              <w:autoSpaceDN/>
              <w:adjustRightInd/>
              <w:jc w:val="center"/>
              <w:textAlignment w:val="auto"/>
              <w:rPr>
                <w:bCs/>
                <w:szCs w:val="24"/>
                <w:lang w:eastAsia="en-GB"/>
              </w:rPr>
            </w:pPr>
            <w:r w:rsidRPr="00FB0308">
              <w:rPr>
                <w:bCs/>
                <w:szCs w:val="24"/>
                <w:lang w:eastAsia="en-GB"/>
              </w:rPr>
              <w:t>135</w:t>
            </w:r>
          </w:p>
        </w:tc>
      </w:tr>
      <w:tr w:rsidR="00B6319C" w:rsidRPr="00B35FE5" w14:paraId="0489A962" w14:textId="77777777" w:rsidTr="00332E72">
        <w:trPr>
          <w:tblHeader/>
          <w:tblCellSpacing w:w="15" w:type="dxa"/>
        </w:trPr>
        <w:tc>
          <w:tcPr>
            <w:tcW w:w="0" w:type="auto"/>
            <w:vAlign w:val="center"/>
          </w:tcPr>
          <w:p w14:paraId="39171931" w14:textId="56859E01" w:rsidR="00B6319C" w:rsidRPr="00FB0308" w:rsidRDefault="00B6319C" w:rsidP="00332E72">
            <w:pPr>
              <w:overflowPunct/>
              <w:autoSpaceDE/>
              <w:autoSpaceDN/>
              <w:adjustRightInd/>
              <w:jc w:val="center"/>
              <w:textAlignment w:val="auto"/>
              <w:rPr>
                <w:bCs/>
                <w:szCs w:val="24"/>
                <w:lang w:eastAsia="en-GB"/>
              </w:rPr>
            </w:pPr>
            <w:r w:rsidRPr="00FB0308">
              <w:rPr>
                <w:bCs/>
                <w:szCs w:val="24"/>
                <w:lang w:eastAsia="en-GB"/>
              </w:rPr>
              <w:t>Ustekinumab</w:t>
            </w:r>
          </w:p>
        </w:tc>
        <w:tc>
          <w:tcPr>
            <w:tcW w:w="0" w:type="auto"/>
            <w:vAlign w:val="center"/>
          </w:tcPr>
          <w:p w14:paraId="462E3807" w14:textId="6EC2931F" w:rsidR="00B6319C" w:rsidRPr="00FB0308" w:rsidRDefault="00B6319C" w:rsidP="00332E72">
            <w:pPr>
              <w:overflowPunct/>
              <w:autoSpaceDE/>
              <w:autoSpaceDN/>
              <w:adjustRightInd/>
              <w:jc w:val="center"/>
              <w:textAlignment w:val="auto"/>
              <w:rPr>
                <w:bCs/>
                <w:szCs w:val="24"/>
                <w:lang w:eastAsia="en-GB"/>
              </w:rPr>
            </w:pPr>
            <w:r w:rsidRPr="00FB0308">
              <w:rPr>
                <w:bCs/>
                <w:szCs w:val="24"/>
                <w:lang w:eastAsia="en-GB"/>
              </w:rPr>
              <w:t>Every 12 weeks</w:t>
            </w:r>
          </w:p>
        </w:tc>
        <w:tc>
          <w:tcPr>
            <w:tcW w:w="0" w:type="auto"/>
            <w:vAlign w:val="center"/>
          </w:tcPr>
          <w:p w14:paraId="76284C77" w14:textId="46F5CFB4" w:rsidR="00B6319C" w:rsidRPr="00FB0308" w:rsidRDefault="00356784" w:rsidP="00332E72">
            <w:pPr>
              <w:overflowPunct/>
              <w:autoSpaceDE/>
              <w:autoSpaceDN/>
              <w:adjustRightInd/>
              <w:jc w:val="center"/>
              <w:textAlignment w:val="auto"/>
              <w:rPr>
                <w:bCs/>
                <w:szCs w:val="24"/>
                <w:lang w:eastAsia="en-GB"/>
              </w:rPr>
            </w:pPr>
            <w:r w:rsidRPr="00FB0308">
              <w:rPr>
                <w:bCs/>
                <w:szCs w:val="24"/>
                <w:lang w:eastAsia="en-GB"/>
              </w:rPr>
              <w:t>Week 13</w:t>
            </w:r>
          </w:p>
        </w:tc>
        <w:tc>
          <w:tcPr>
            <w:tcW w:w="0" w:type="auto"/>
            <w:vAlign w:val="center"/>
          </w:tcPr>
          <w:p w14:paraId="030A6EF7" w14:textId="708185B9" w:rsidR="00B6319C" w:rsidRPr="00FB0308" w:rsidRDefault="00B6319C" w:rsidP="00332E72">
            <w:pPr>
              <w:overflowPunct/>
              <w:autoSpaceDE/>
              <w:autoSpaceDN/>
              <w:adjustRightInd/>
              <w:jc w:val="center"/>
              <w:textAlignment w:val="auto"/>
              <w:rPr>
                <w:bCs/>
                <w:szCs w:val="24"/>
                <w:lang w:eastAsia="en-GB"/>
              </w:rPr>
            </w:pPr>
            <w:r w:rsidRPr="00FB0308">
              <w:rPr>
                <w:bCs/>
                <w:szCs w:val="24"/>
                <w:lang w:eastAsia="en-GB"/>
              </w:rPr>
              <w:t>21</w:t>
            </w:r>
          </w:p>
        </w:tc>
        <w:tc>
          <w:tcPr>
            <w:tcW w:w="0" w:type="auto"/>
            <w:vAlign w:val="center"/>
          </w:tcPr>
          <w:p w14:paraId="424FA56A" w14:textId="40C952F2" w:rsidR="00B6319C" w:rsidRPr="00FB0308" w:rsidRDefault="00717EEC" w:rsidP="00332E72">
            <w:pPr>
              <w:overflowPunct/>
              <w:autoSpaceDE/>
              <w:autoSpaceDN/>
              <w:adjustRightInd/>
              <w:jc w:val="center"/>
              <w:textAlignment w:val="auto"/>
              <w:rPr>
                <w:bCs/>
                <w:szCs w:val="24"/>
                <w:lang w:eastAsia="en-GB"/>
              </w:rPr>
            </w:pPr>
            <w:r w:rsidRPr="00FB0308">
              <w:rPr>
                <w:bCs/>
                <w:szCs w:val="24"/>
                <w:lang w:eastAsia="en-GB"/>
              </w:rPr>
              <w:t>105</w:t>
            </w:r>
          </w:p>
        </w:tc>
      </w:tr>
    </w:tbl>
    <w:p w14:paraId="6ACA4FAC" w14:textId="28BA2C43" w:rsidR="00997119" w:rsidRDefault="00997119" w:rsidP="008C2BD4">
      <w:pPr>
        <w:overflowPunct/>
        <w:autoSpaceDE/>
        <w:autoSpaceDN/>
        <w:adjustRightInd/>
        <w:textAlignment w:val="auto"/>
        <w:rPr>
          <w:b/>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2"/>
        <w:gridCol w:w="1212"/>
        <w:gridCol w:w="4438"/>
        <w:gridCol w:w="1127"/>
        <w:gridCol w:w="1197"/>
      </w:tblGrid>
      <w:tr w:rsidR="00815207" w:rsidRPr="00B35FE5" w14:paraId="6A99B887" w14:textId="77777777" w:rsidTr="00332E72">
        <w:trPr>
          <w:tblHeader/>
          <w:tblCellSpacing w:w="15" w:type="dxa"/>
        </w:trPr>
        <w:tc>
          <w:tcPr>
            <w:tcW w:w="0" w:type="auto"/>
            <w:vAlign w:val="center"/>
            <w:hideMark/>
          </w:tcPr>
          <w:p w14:paraId="7AEC1A39" w14:textId="77777777" w:rsidR="00815207" w:rsidRPr="00B35FE5" w:rsidRDefault="00815207" w:rsidP="00332E72">
            <w:pPr>
              <w:overflowPunct/>
              <w:autoSpaceDE/>
              <w:autoSpaceDN/>
              <w:adjustRightInd/>
              <w:jc w:val="center"/>
              <w:textAlignment w:val="auto"/>
              <w:rPr>
                <w:b/>
                <w:bCs/>
                <w:szCs w:val="24"/>
                <w:lang w:eastAsia="en-GB"/>
              </w:rPr>
            </w:pPr>
            <w:r w:rsidRPr="00B35FE5">
              <w:rPr>
                <w:b/>
                <w:bCs/>
                <w:szCs w:val="24"/>
                <w:lang w:eastAsia="en-GB"/>
              </w:rPr>
              <w:t>Drug </w:t>
            </w:r>
          </w:p>
        </w:tc>
        <w:tc>
          <w:tcPr>
            <w:tcW w:w="0" w:type="auto"/>
            <w:vAlign w:val="center"/>
            <w:hideMark/>
          </w:tcPr>
          <w:p w14:paraId="4EB6F9FD" w14:textId="77777777" w:rsidR="00815207" w:rsidRPr="00B35FE5" w:rsidRDefault="00815207" w:rsidP="00332E72">
            <w:pPr>
              <w:overflowPunct/>
              <w:autoSpaceDE/>
              <w:autoSpaceDN/>
              <w:adjustRightInd/>
              <w:jc w:val="center"/>
              <w:textAlignment w:val="auto"/>
              <w:rPr>
                <w:b/>
                <w:bCs/>
                <w:szCs w:val="24"/>
                <w:lang w:eastAsia="en-GB"/>
              </w:rPr>
            </w:pPr>
            <w:r w:rsidRPr="00B35FE5">
              <w:rPr>
                <w:b/>
                <w:bCs/>
                <w:szCs w:val="24"/>
                <w:lang w:eastAsia="en-GB"/>
              </w:rPr>
              <w:t>Dosing interval </w:t>
            </w:r>
          </w:p>
        </w:tc>
        <w:tc>
          <w:tcPr>
            <w:tcW w:w="0" w:type="auto"/>
            <w:vAlign w:val="center"/>
            <w:hideMark/>
          </w:tcPr>
          <w:p w14:paraId="5CA12D5C" w14:textId="77777777" w:rsidR="00815207" w:rsidRPr="00B35FE5" w:rsidRDefault="00815207" w:rsidP="00332E72">
            <w:pPr>
              <w:overflowPunct/>
              <w:autoSpaceDE/>
              <w:autoSpaceDN/>
              <w:adjustRightInd/>
              <w:jc w:val="center"/>
              <w:textAlignment w:val="auto"/>
              <w:rPr>
                <w:b/>
                <w:bCs/>
                <w:szCs w:val="24"/>
                <w:lang w:eastAsia="en-GB"/>
              </w:rPr>
            </w:pPr>
            <w:r w:rsidRPr="00B35FE5">
              <w:rPr>
                <w:b/>
                <w:bCs/>
                <w:szCs w:val="24"/>
                <w:lang w:eastAsia="en-GB"/>
              </w:rPr>
              <w:t>Period in which surgery should be scheduled (relative to last biologic dose administered) </w:t>
            </w:r>
          </w:p>
        </w:tc>
        <w:tc>
          <w:tcPr>
            <w:tcW w:w="0" w:type="auto"/>
            <w:vAlign w:val="center"/>
            <w:hideMark/>
          </w:tcPr>
          <w:p w14:paraId="2E560315" w14:textId="77777777" w:rsidR="00815207" w:rsidRPr="00B35FE5" w:rsidRDefault="00815207" w:rsidP="00332E72">
            <w:pPr>
              <w:overflowPunct/>
              <w:autoSpaceDE/>
              <w:autoSpaceDN/>
              <w:adjustRightInd/>
              <w:jc w:val="center"/>
              <w:textAlignment w:val="auto"/>
              <w:rPr>
                <w:b/>
                <w:bCs/>
                <w:szCs w:val="24"/>
                <w:lang w:eastAsia="en-GB"/>
              </w:rPr>
            </w:pPr>
            <w:r w:rsidRPr="00B35FE5">
              <w:rPr>
                <w:b/>
                <w:bCs/>
                <w:szCs w:val="24"/>
                <w:lang w:eastAsia="en-GB"/>
              </w:rPr>
              <w:t>One half-life, days </w:t>
            </w:r>
          </w:p>
        </w:tc>
        <w:tc>
          <w:tcPr>
            <w:tcW w:w="0" w:type="auto"/>
            <w:vAlign w:val="center"/>
            <w:hideMark/>
          </w:tcPr>
          <w:p w14:paraId="34C0FC3E" w14:textId="77777777" w:rsidR="00815207" w:rsidRPr="00B35FE5" w:rsidRDefault="00815207" w:rsidP="00332E72">
            <w:pPr>
              <w:overflowPunct/>
              <w:autoSpaceDE/>
              <w:autoSpaceDN/>
              <w:adjustRightInd/>
              <w:jc w:val="center"/>
              <w:textAlignment w:val="auto"/>
              <w:rPr>
                <w:b/>
                <w:bCs/>
                <w:szCs w:val="24"/>
                <w:lang w:eastAsia="en-GB"/>
              </w:rPr>
            </w:pPr>
            <w:r w:rsidRPr="00B35FE5">
              <w:rPr>
                <w:b/>
                <w:bCs/>
                <w:szCs w:val="24"/>
                <w:lang w:eastAsia="en-GB"/>
              </w:rPr>
              <w:t>Five half-lives, days </w:t>
            </w:r>
          </w:p>
        </w:tc>
      </w:tr>
      <w:tr w:rsidR="00815207" w:rsidRPr="00FB0308" w14:paraId="5607872C" w14:textId="77777777" w:rsidTr="00332E72">
        <w:trPr>
          <w:tblHeader/>
          <w:tblCellSpacing w:w="15" w:type="dxa"/>
        </w:trPr>
        <w:tc>
          <w:tcPr>
            <w:tcW w:w="0" w:type="auto"/>
            <w:vAlign w:val="center"/>
          </w:tcPr>
          <w:p w14:paraId="367BC237" w14:textId="19E3C879" w:rsidR="00815207" w:rsidRPr="00FB0308" w:rsidRDefault="00815207" w:rsidP="00332E72">
            <w:pPr>
              <w:overflowPunct/>
              <w:autoSpaceDE/>
              <w:autoSpaceDN/>
              <w:adjustRightInd/>
              <w:jc w:val="center"/>
              <w:textAlignment w:val="auto"/>
              <w:rPr>
                <w:bCs/>
                <w:szCs w:val="24"/>
                <w:lang w:eastAsia="en-GB"/>
              </w:rPr>
            </w:pPr>
            <w:r w:rsidRPr="00FB0308">
              <w:rPr>
                <w:bCs/>
                <w:szCs w:val="24"/>
                <w:lang w:eastAsia="en-GB"/>
              </w:rPr>
              <w:t>Apremilast</w:t>
            </w:r>
          </w:p>
        </w:tc>
        <w:tc>
          <w:tcPr>
            <w:tcW w:w="0" w:type="auto"/>
            <w:vAlign w:val="center"/>
          </w:tcPr>
          <w:p w14:paraId="44D67D24" w14:textId="5CE0192F" w:rsidR="00815207" w:rsidRPr="00FB0308" w:rsidRDefault="00815207" w:rsidP="00332E72">
            <w:pPr>
              <w:overflowPunct/>
              <w:autoSpaceDE/>
              <w:autoSpaceDN/>
              <w:adjustRightInd/>
              <w:jc w:val="center"/>
              <w:textAlignment w:val="auto"/>
              <w:rPr>
                <w:bCs/>
                <w:szCs w:val="24"/>
                <w:lang w:eastAsia="en-GB"/>
              </w:rPr>
            </w:pPr>
            <w:r w:rsidRPr="00FB0308">
              <w:rPr>
                <w:bCs/>
                <w:szCs w:val="24"/>
                <w:lang w:eastAsia="en-GB"/>
              </w:rPr>
              <w:t>OD</w:t>
            </w:r>
          </w:p>
        </w:tc>
        <w:tc>
          <w:tcPr>
            <w:tcW w:w="0" w:type="auto"/>
            <w:vAlign w:val="center"/>
          </w:tcPr>
          <w:p w14:paraId="738B9AA7" w14:textId="5F2DF991" w:rsidR="00815207" w:rsidRPr="00FB0308" w:rsidRDefault="00356784" w:rsidP="00332E72">
            <w:pPr>
              <w:overflowPunct/>
              <w:autoSpaceDE/>
              <w:autoSpaceDN/>
              <w:adjustRightInd/>
              <w:jc w:val="center"/>
              <w:textAlignment w:val="auto"/>
              <w:rPr>
                <w:bCs/>
                <w:szCs w:val="24"/>
                <w:lang w:eastAsia="en-GB"/>
              </w:rPr>
            </w:pPr>
            <w:r w:rsidRPr="00FB0308">
              <w:rPr>
                <w:bCs/>
                <w:szCs w:val="24"/>
                <w:lang w:eastAsia="en-GB"/>
              </w:rPr>
              <w:t>Week 1</w:t>
            </w:r>
          </w:p>
        </w:tc>
        <w:tc>
          <w:tcPr>
            <w:tcW w:w="0" w:type="auto"/>
            <w:vAlign w:val="center"/>
          </w:tcPr>
          <w:p w14:paraId="4DB8EAEF" w14:textId="27AD5ED2" w:rsidR="00815207" w:rsidRPr="00FB0308" w:rsidRDefault="00815207" w:rsidP="00332E72">
            <w:pPr>
              <w:overflowPunct/>
              <w:autoSpaceDE/>
              <w:autoSpaceDN/>
              <w:adjustRightInd/>
              <w:jc w:val="center"/>
              <w:textAlignment w:val="auto"/>
              <w:rPr>
                <w:bCs/>
                <w:szCs w:val="24"/>
                <w:lang w:eastAsia="en-GB"/>
              </w:rPr>
            </w:pPr>
            <w:r w:rsidRPr="00FB0308">
              <w:rPr>
                <w:bCs/>
                <w:szCs w:val="24"/>
                <w:lang w:eastAsia="en-GB"/>
              </w:rPr>
              <w:t>9 hours</w:t>
            </w:r>
          </w:p>
        </w:tc>
        <w:tc>
          <w:tcPr>
            <w:tcW w:w="0" w:type="auto"/>
            <w:vAlign w:val="center"/>
          </w:tcPr>
          <w:p w14:paraId="4A19ACD0" w14:textId="734F6FC4" w:rsidR="00815207" w:rsidRPr="00FB0308" w:rsidRDefault="00717EEC" w:rsidP="00332E72">
            <w:pPr>
              <w:overflowPunct/>
              <w:autoSpaceDE/>
              <w:autoSpaceDN/>
              <w:adjustRightInd/>
              <w:jc w:val="center"/>
              <w:textAlignment w:val="auto"/>
              <w:rPr>
                <w:bCs/>
                <w:szCs w:val="24"/>
                <w:lang w:eastAsia="en-GB"/>
              </w:rPr>
            </w:pPr>
            <w:r w:rsidRPr="00FB0308">
              <w:rPr>
                <w:bCs/>
                <w:szCs w:val="24"/>
                <w:lang w:eastAsia="en-GB"/>
              </w:rPr>
              <w:t>45 hours</w:t>
            </w:r>
          </w:p>
        </w:tc>
      </w:tr>
      <w:tr w:rsidR="00815207" w:rsidRPr="00FB0308" w14:paraId="461084A7" w14:textId="77777777" w:rsidTr="00332E72">
        <w:trPr>
          <w:tblHeader/>
          <w:tblCellSpacing w:w="15" w:type="dxa"/>
        </w:trPr>
        <w:tc>
          <w:tcPr>
            <w:tcW w:w="0" w:type="auto"/>
            <w:vAlign w:val="center"/>
          </w:tcPr>
          <w:p w14:paraId="7C142C77" w14:textId="4856989F" w:rsidR="00815207" w:rsidRPr="00FB0308" w:rsidRDefault="00295352" w:rsidP="00815207">
            <w:pPr>
              <w:overflowPunct/>
              <w:autoSpaceDE/>
              <w:autoSpaceDN/>
              <w:adjustRightInd/>
              <w:jc w:val="center"/>
              <w:textAlignment w:val="auto"/>
              <w:rPr>
                <w:bCs/>
                <w:szCs w:val="24"/>
                <w:lang w:eastAsia="en-GB"/>
              </w:rPr>
            </w:pPr>
            <w:r>
              <w:rPr>
                <w:bCs/>
                <w:szCs w:val="24"/>
                <w:lang w:eastAsia="en-GB"/>
              </w:rPr>
              <w:t>B</w:t>
            </w:r>
            <w:r w:rsidR="00815207" w:rsidRPr="00FB0308">
              <w:rPr>
                <w:bCs/>
                <w:szCs w:val="24"/>
                <w:lang w:eastAsia="en-GB"/>
              </w:rPr>
              <w:t>a</w:t>
            </w:r>
            <w:r>
              <w:rPr>
                <w:bCs/>
                <w:szCs w:val="24"/>
                <w:lang w:eastAsia="en-GB"/>
              </w:rPr>
              <w:t>ri</w:t>
            </w:r>
            <w:r w:rsidR="00815207" w:rsidRPr="00FB0308">
              <w:rPr>
                <w:bCs/>
                <w:szCs w:val="24"/>
                <w:lang w:eastAsia="en-GB"/>
              </w:rPr>
              <w:t>citinib</w:t>
            </w:r>
          </w:p>
        </w:tc>
        <w:tc>
          <w:tcPr>
            <w:tcW w:w="0" w:type="auto"/>
            <w:vAlign w:val="center"/>
          </w:tcPr>
          <w:p w14:paraId="2CFABF3A" w14:textId="7CCB668C" w:rsidR="00815207" w:rsidRPr="00FB0308" w:rsidRDefault="00815207" w:rsidP="00332E72">
            <w:pPr>
              <w:overflowPunct/>
              <w:autoSpaceDE/>
              <w:autoSpaceDN/>
              <w:adjustRightInd/>
              <w:jc w:val="center"/>
              <w:textAlignment w:val="auto"/>
              <w:rPr>
                <w:bCs/>
                <w:szCs w:val="24"/>
                <w:lang w:eastAsia="en-GB"/>
              </w:rPr>
            </w:pPr>
            <w:r w:rsidRPr="00FB0308">
              <w:rPr>
                <w:bCs/>
                <w:szCs w:val="24"/>
                <w:lang w:eastAsia="en-GB"/>
              </w:rPr>
              <w:t>OD</w:t>
            </w:r>
          </w:p>
        </w:tc>
        <w:tc>
          <w:tcPr>
            <w:tcW w:w="0" w:type="auto"/>
            <w:vAlign w:val="center"/>
          </w:tcPr>
          <w:p w14:paraId="2A86E06D" w14:textId="01CC0CF7" w:rsidR="00815207" w:rsidRPr="00FB0308" w:rsidRDefault="00356784" w:rsidP="00332E72">
            <w:pPr>
              <w:overflowPunct/>
              <w:autoSpaceDE/>
              <w:autoSpaceDN/>
              <w:adjustRightInd/>
              <w:jc w:val="center"/>
              <w:textAlignment w:val="auto"/>
              <w:rPr>
                <w:bCs/>
                <w:szCs w:val="24"/>
                <w:lang w:eastAsia="en-GB"/>
              </w:rPr>
            </w:pPr>
            <w:r w:rsidRPr="00FB0308">
              <w:rPr>
                <w:bCs/>
                <w:szCs w:val="24"/>
                <w:lang w:eastAsia="en-GB"/>
              </w:rPr>
              <w:t>Week 1</w:t>
            </w:r>
          </w:p>
        </w:tc>
        <w:tc>
          <w:tcPr>
            <w:tcW w:w="0" w:type="auto"/>
            <w:vAlign w:val="center"/>
          </w:tcPr>
          <w:p w14:paraId="135C6C99" w14:textId="27C04568" w:rsidR="00815207" w:rsidRPr="00FB0308" w:rsidRDefault="00815207" w:rsidP="00332E72">
            <w:pPr>
              <w:overflowPunct/>
              <w:autoSpaceDE/>
              <w:autoSpaceDN/>
              <w:adjustRightInd/>
              <w:jc w:val="center"/>
              <w:textAlignment w:val="auto"/>
              <w:rPr>
                <w:bCs/>
                <w:szCs w:val="24"/>
                <w:lang w:eastAsia="en-GB"/>
              </w:rPr>
            </w:pPr>
            <w:r w:rsidRPr="00FB0308">
              <w:rPr>
                <w:bCs/>
                <w:szCs w:val="24"/>
                <w:lang w:eastAsia="en-GB"/>
              </w:rPr>
              <w:t>12.5 hours</w:t>
            </w:r>
          </w:p>
        </w:tc>
        <w:tc>
          <w:tcPr>
            <w:tcW w:w="0" w:type="auto"/>
            <w:vAlign w:val="center"/>
          </w:tcPr>
          <w:p w14:paraId="5BBEE97F" w14:textId="41B59F7F" w:rsidR="00815207" w:rsidRPr="00FB0308" w:rsidRDefault="00717EEC" w:rsidP="00332E72">
            <w:pPr>
              <w:overflowPunct/>
              <w:autoSpaceDE/>
              <w:autoSpaceDN/>
              <w:adjustRightInd/>
              <w:jc w:val="center"/>
              <w:textAlignment w:val="auto"/>
              <w:rPr>
                <w:bCs/>
                <w:szCs w:val="24"/>
                <w:lang w:eastAsia="en-GB"/>
              </w:rPr>
            </w:pPr>
            <w:r w:rsidRPr="00FB0308">
              <w:rPr>
                <w:bCs/>
                <w:szCs w:val="24"/>
                <w:lang w:eastAsia="en-GB"/>
              </w:rPr>
              <w:t>62.5 hours</w:t>
            </w:r>
          </w:p>
        </w:tc>
      </w:tr>
      <w:tr w:rsidR="00815207" w:rsidRPr="00FB0308" w14:paraId="2349A002" w14:textId="77777777" w:rsidTr="00332E72">
        <w:trPr>
          <w:tblHeader/>
          <w:tblCellSpacing w:w="15" w:type="dxa"/>
        </w:trPr>
        <w:tc>
          <w:tcPr>
            <w:tcW w:w="0" w:type="auto"/>
            <w:vAlign w:val="center"/>
          </w:tcPr>
          <w:p w14:paraId="4B0957ED" w14:textId="4687FC3A" w:rsidR="00815207" w:rsidRPr="00FB0308" w:rsidRDefault="00815207" w:rsidP="00815207">
            <w:pPr>
              <w:overflowPunct/>
              <w:autoSpaceDE/>
              <w:autoSpaceDN/>
              <w:adjustRightInd/>
              <w:jc w:val="center"/>
              <w:textAlignment w:val="auto"/>
              <w:rPr>
                <w:bCs/>
                <w:szCs w:val="24"/>
                <w:lang w:eastAsia="en-GB"/>
              </w:rPr>
            </w:pPr>
            <w:r w:rsidRPr="00FB0308">
              <w:rPr>
                <w:bCs/>
                <w:szCs w:val="24"/>
                <w:lang w:eastAsia="en-GB"/>
              </w:rPr>
              <w:t>Tofacitinib</w:t>
            </w:r>
          </w:p>
        </w:tc>
        <w:tc>
          <w:tcPr>
            <w:tcW w:w="0" w:type="auto"/>
            <w:vAlign w:val="center"/>
          </w:tcPr>
          <w:p w14:paraId="407EEB00" w14:textId="30336C13" w:rsidR="00815207" w:rsidRPr="00FB0308" w:rsidRDefault="00815207" w:rsidP="00332E72">
            <w:pPr>
              <w:overflowPunct/>
              <w:autoSpaceDE/>
              <w:autoSpaceDN/>
              <w:adjustRightInd/>
              <w:jc w:val="center"/>
              <w:textAlignment w:val="auto"/>
              <w:rPr>
                <w:bCs/>
                <w:szCs w:val="24"/>
                <w:lang w:eastAsia="en-GB"/>
              </w:rPr>
            </w:pPr>
            <w:r w:rsidRPr="00FB0308">
              <w:rPr>
                <w:bCs/>
                <w:szCs w:val="24"/>
                <w:lang w:eastAsia="en-GB"/>
              </w:rPr>
              <w:t>OD</w:t>
            </w:r>
          </w:p>
        </w:tc>
        <w:tc>
          <w:tcPr>
            <w:tcW w:w="0" w:type="auto"/>
            <w:vAlign w:val="center"/>
          </w:tcPr>
          <w:p w14:paraId="600A38EA" w14:textId="0C1A18AE" w:rsidR="00815207" w:rsidRPr="00FB0308" w:rsidRDefault="00356784" w:rsidP="00332E72">
            <w:pPr>
              <w:overflowPunct/>
              <w:autoSpaceDE/>
              <w:autoSpaceDN/>
              <w:adjustRightInd/>
              <w:jc w:val="center"/>
              <w:textAlignment w:val="auto"/>
              <w:rPr>
                <w:bCs/>
                <w:szCs w:val="24"/>
                <w:lang w:eastAsia="en-GB"/>
              </w:rPr>
            </w:pPr>
            <w:r w:rsidRPr="00FB0308">
              <w:rPr>
                <w:bCs/>
                <w:szCs w:val="24"/>
                <w:lang w:eastAsia="en-GB"/>
              </w:rPr>
              <w:t>Week 1</w:t>
            </w:r>
          </w:p>
        </w:tc>
        <w:tc>
          <w:tcPr>
            <w:tcW w:w="0" w:type="auto"/>
            <w:vAlign w:val="center"/>
          </w:tcPr>
          <w:p w14:paraId="033641A7" w14:textId="20BD8307" w:rsidR="00815207" w:rsidRPr="00FB0308" w:rsidRDefault="00815207" w:rsidP="00332E72">
            <w:pPr>
              <w:overflowPunct/>
              <w:autoSpaceDE/>
              <w:autoSpaceDN/>
              <w:adjustRightInd/>
              <w:jc w:val="center"/>
              <w:textAlignment w:val="auto"/>
              <w:rPr>
                <w:bCs/>
                <w:szCs w:val="24"/>
                <w:lang w:eastAsia="en-GB"/>
              </w:rPr>
            </w:pPr>
            <w:r w:rsidRPr="00FB0308">
              <w:rPr>
                <w:bCs/>
                <w:szCs w:val="24"/>
                <w:lang w:eastAsia="en-GB"/>
              </w:rPr>
              <w:t>3 hours</w:t>
            </w:r>
          </w:p>
        </w:tc>
        <w:tc>
          <w:tcPr>
            <w:tcW w:w="0" w:type="auto"/>
            <w:vAlign w:val="center"/>
          </w:tcPr>
          <w:p w14:paraId="53815292" w14:textId="497FAA50" w:rsidR="00815207" w:rsidRPr="00FB0308" w:rsidRDefault="00717EEC" w:rsidP="00332E72">
            <w:pPr>
              <w:overflowPunct/>
              <w:autoSpaceDE/>
              <w:autoSpaceDN/>
              <w:adjustRightInd/>
              <w:jc w:val="center"/>
              <w:textAlignment w:val="auto"/>
              <w:rPr>
                <w:bCs/>
                <w:szCs w:val="24"/>
                <w:lang w:eastAsia="en-GB"/>
              </w:rPr>
            </w:pPr>
            <w:r w:rsidRPr="00FB0308">
              <w:rPr>
                <w:bCs/>
                <w:szCs w:val="24"/>
                <w:lang w:eastAsia="en-GB"/>
              </w:rPr>
              <w:t>15 hours</w:t>
            </w:r>
          </w:p>
        </w:tc>
      </w:tr>
    </w:tbl>
    <w:p w14:paraId="0940E068" w14:textId="77777777" w:rsidR="00815207" w:rsidRDefault="00815207" w:rsidP="008C2BD4">
      <w:pPr>
        <w:overflowPunct/>
        <w:autoSpaceDE/>
        <w:autoSpaceDN/>
        <w:adjustRightInd/>
        <w:textAlignment w:val="auto"/>
        <w:rPr>
          <w:b/>
          <w:szCs w:val="24"/>
        </w:rPr>
      </w:pPr>
    </w:p>
    <w:p w14:paraId="77487049" w14:textId="76EC3007" w:rsidR="00997119" w:rsidRDefault="00997119" w:rsidP="008C2BD4">
      <w:pPr>
        <w:overflowPunct/>
        <w:autoSpaceDE/>
        <w:autoSpaceDN/>
        <w:adjustRightInd/>
        <w:textAlignment w:val="auto"/>
        <w:rPr>
          <w:b/>
          <w:szCs w:val="24"/>
        </w:rPr>
      </w:pPr>
    </w:p>
    <w:p w14:paraId="5DFB7134" w14:textId="77777777" w:rsidR="00997119" w:rsidRDefault="00997119" w:rsidP="008C2BD4">
      <w:pPr>
        <w:overflowPunct/>
        <w:autoSpaceDE/>
        <w:autoSpaceDN/>
        <w:adjustRightInd/>
        <w:textAlignment w:val="auto"/>
        <w:rPr>
          <w:b/>
          <w:szCs w:val="24"/>
        </w:rPr>
      </w:pPr>
    </w:p>
    <w:p w14:paraId="503BA2BB" w14:textId="77777777" w:rsidR="008C2BD4" w:rsidRDefault="008C2BD4" w:rsidP="008C2BD4">
      <w:pPr>
        <w:overflowPunct/>
        <w:autoSpaceDE/>
        <w:autoSpaceDN/>
        <w:adjustRightInd/>
        <w:textAlignment w:val="auto"/>
        <w:rPr>
          <w:b/>
          <w:sz w:val="28"/>
          <w:szCs w:val="28"/>
        </w:rPr>
      </w:pPr>
    </w:p>
    <w:p w14:paraId="6FC5B8DD" w14:textId="77777777" w:rsidR="008C2BD4" w:rsidRDefault="008C2BD4" w:rsidP="008C2BD4">
      <w:pPr>
        <w:overflowPunct/>
        <w:autoSpaceDE/>
        <w:autoSpaceDN/>
        <w:adjustRightInd/>
        <w:textAlignment w:val="auto"/>
        <w:rPr>
          <w:b/>
          <w:sz w:val="28"/>
          <w:szCs w:val="28"/>
        </w:rPr>
      </w:pPr>
    </w:p>
    <w:p w14:paraId="0F51E794" w14:textId="77777777" w:rsidR="008C2BD4" w:rsidRDefault="008C2BD4" w:rsidP="008C2BD4">
      <w:pPr>
        <w:overflowPunct/>
        <w:autoSpaceDE/>
        <w:autoSpaceDN/>
        <w:adjustRightInd/>
        <w:textAlignment w:val="auto"/>
        <w:rPr>
          <w:b/>
          <w:sz w:val="28"/>
          <w:szCs w:val="28"/>
        </w:rPr>
      </w:pPr>
    </w:p>
    <w:p w14:paraId="542DE4D1" w14:textId="77777777" w:rsidR="008C2BD4" w:rsidRDefault="008C2BD4" w:rsidP="008C2BD4">
      <w:pPr>
        <w:overflowPunct/>
        <w:autoSpaceDE/>
        <w:autoSpaceDN/>
        <w:adjustRightInd/>
        <w:textAlignment w:val="auto"/>
        <w:rPr>
          <w:b/>
          <w:sz w:val="28"/>
          <w:szCs w:val="28"/>
        </w:rPr>
      </w:pPr>
    </w:p>
    <w:p w14:paraId="7FB00DC6" w14:textId="77777777" w:rsidR="008C2BD4" w:rsidRDefault="008C2BD4" w:rsidP="008C2BD4">
      <w:pPr>
        <w:overflowPunct/>
        <w:autoSpaceDE/>
        <w:autoSpaceDN/>
        <w:adjustRightInd/>
        <w:textAlignment w:val="auto"/>
        <w:rPr>
          <w:b/>
          <w:sz w:val="28"/>
          <w:szCs w:val="28"/>
        </w:rPr>
      </w:pPr>
    </w:p>
    <w:p w14:paraId="6DC7A2D4" w14:textId="334E2C7C" w:rsidR="008C2BD4" w:rsidRDefault="008C2BD4">
      <w:pPr>
        <w:overflowPunct/>
        <w:autoSpaceDE/>
        <w:autoSpaceDN/>
        <w:adjustRightInd/>
        <w:spacing w:after="160" w:line="259" w:lineRule="auto"/>
        <w:textAlignment w:val="auto"/>
        <w:rPr>
          <w:b/>
          <w:sz w:val="28"/>
          <w:szCs w:val="28"/>
        </w:rPr>
      </w:pPr>
      <w:r>
        <w:rPr>
          <w:b/>
          <w:sz w:val="28"/>
          <w:szCs w:val="28"/>
        </w:rPr>
        <w:br w:type="page"/>
      </w:r>
    </w:p>
    <w:p w14:paraId="16C17AC1" w14:textId="77777777" w:rsidR="00612BBC" w:rsidRDefault="00612BBC" w:rsidP="008C2BD4">
      <w:pPr>
        <w:pStyle w:val="Heading1"/>
        <w:sectPr w:rsidR="00612BBC" w:rsidSect="00C02B5B">
          <w:type w:val="continuous"/>
          <w:pgSz w:w="11906" w:h="16838"/>
          <w:pgMar w:top="1440" w:right="1440" w:bottom="1440" w:left="1440" w:header="708" w:footer="708" w:gutter="0"/>
          <w:cols w:space="708"/>
          <w:docGrid w:linePitch="360"/>
        </w:sectPr>
      </w:pPr>
    </w:p>
    <w:p w14:paraId="590D71A1" w14:textId="178EFCFB" w:rsidR="008C2BD4" w:rsidRDefault="00403AE5" w:rsidP="008C2BD4">
      <w:pPr>
        <w:pStyle w:val="Heading1"/>
        <w:rPr>
          <w:u w:val="single"/>
        </w:rPr>
      </w:pPr>
      <w:bookmarkStart w:id="41" w:name="_Ref530207962"/>
      <w:bookmarkStart w:id="42" w:name="_Ref530207965"/>
      <w:bookmarkStart w:id="43" w:name="_Ref530207972"/>
      <w:bookmarkStart w:id="44" w:name="_Ref530207977"/>
      <w:bookmarkStart w:id="45" w:name="_Toc531873953"/>
      <w:r>
        <w:lastRenderedPageBreak/>
        <w:t xml:space="preserve">Guidance on use of DMARDS in </w:t>
      </w:r>
      <w:r w:rsidRPr="00403AE5">
        <w:rPr>
          <w:u w:val="single"/>
        </w:rPr>
        <w:t>p</w:t>
      </w:r>
      <w:r w:rsidR="008C2BD4" w:rsidRPr="00403AE5">
        <w:rPr>
          <w:u w:val="single"/>
        </w:rPr>
        <w:t>regnancy</w:t>
      </w:r>
      <w:bookmarkEnd w:id="41"/>
      <w:bookmarkEnd w:id="42"/>
      <w:bookmarkEnd w:id="43"/>
      <w:bookmarkEnd w:id="44"/>
      <w:bookmarkEnd w:id="45"/>
      <w:r w:rsidR="008C2BD4" w:rsidRPr="00403AE5">
        <w:rPr>
          <w:u w:val="single"/>
        </w:rPr>
        <w:t xml:space="preserve"> </w:t>
      </w:r>
    </w:p>
    <w:p w14:paraId="638BEBDE" w14:textId="09E496D1" w:rsidR="00612BBC" w:rsidRDefault="00612BBC" w:rsidP="00612BBC"/>
    <w:tbl>
      <w:tblPr>
        <w:tblW w:w="0" w:type="auto"/>
        <w:tblCellSpacing w:w="15" w:type="dxa"/>
        <w:tblInd w:w="-993" w:type="dxa"/>
        <w:tblCellMar>
          <w:top w:w="15" w:type="dxa"/>
          <w:left w:w="15" w:type="dxa"/>
          <w:bottom w:w="15" w:type="dxa"/>
          <w:right w:w="15" w:type="dxa"/>
        </w:tblCellMar>
        <w:tblLook w:val="04A0" w:firstRow="1" w:lastRow="0" w:firstColumn="1" w:lastColumn="0" w:noHBand="0" w:noVBand="1"/>
      </w:tblPr>
      <w:tblGrid>
        <w:gridCol w:w="3119"/>
        <w:gridCol w:w="2735"/>
        <w:gridCol w:w="2340"/>
        <w:gridCol w:w="2127"/>
        <w:gridCol w:w="3230"/>
        <w:gridCol w:w="1490"/>
      </w:tblGrid>
      <w:tr w:rsidR="00283360" w:rsidRPr="00612BBC" w14:paraId="21AAA57B" w14:textId="77777777" w:rsidTr="00DA46B2">
        <w:trPr>
          <w:tblHeader/>
          <w:tblCellSpacing w:w="15" w:type="dxa"/>
        </w:trPr>
        <w:tc>
          <w:tcPr>
            <w:tcW w:w="3074" w:type="dxa"/>
            <w:vAlign w:val="center"/>
            <w:hideMark/>
          </w:tcPr>
          <w:p w14:paraId="1A73F673" w14:textId="77777777" w:rsidR="00612BBC" w:rsidRPr="00612BBC" w:rsidRDefault="00612BBC" w:rsidP="00612BBC">
            <w:pPr>
              <w:overflowPunct/>
              <w:autoSpaceDE/>
              <w:autoSpaceDN/>
              <w:adjustRightInd/>
              <w:textAlignment w:val="auto"/>
              <w:rPr>
                <w:sz w:val="20"/>
                <w:szCs w:val="24"/>
                <w:lang w:eastAsia="en-GB"/>
              </w:rPr>
            </w:pPr>
          </w:p>
        </w:tc>
        <w:tc>
          <w:tcPr>
            <w:tcW w:w="2705" w:type="dxa"/>
            <w:vAlign w:val="center"/>
            <w:hideMark/>
          </w:tcPr>
          <w:p w14:paraId="6DC266CD" w14:textId="77777777" w:rsidR="00612BBC" w:rsidRPr="00612BBC" w:rsidRDefault="00612BBC" w:rsidP="00612BBC">
            <w:pPr>
              <w:overflowPunct/>
              <w:autoSpaceDE/>
              <w:autoSpaceDN/>
              <w:adjustRightInd/>
              <w:jc w:val="center"/>
              <w:textAlignment w:val="auto"/>
              <w:rPr>
                <w:b/>
                <w:bCs/>
                <w:szCs w:val="24"/>
                <w:lang w:eastAsia="en-GB"/>
              </w:rPr>
            </w:pPr>
            <w:r w:rsidRPr="00612BBC">
              <w:rPr>
                <w:b/>
                <w:bCs/>
                <w:szCs w:val="24"/>
                <w:lang w:eastAsia="en-GB"/>
              </w:rPr>
              <w:t>Compatible peri-conception </w:t>
            </w:r>
          </w:p>
        </w:tc>
        <w:tc>
          <w:tcPr>
            <w:tcW w:w="0" w:type="auto"/>
            <w:vAlign w:val="center"/>
            <w:hideMark/>
          </w:tcPr>
          <w:p w14:paraId="55EEBC2F" w14:textId="77777777" w:rsidR="00612BBC" w:rsidRPr="00612BBC" w:rsidRDefault="00612BBC" w:rsidP="00612BBC">
            <w:pPr>
              <w:overflowPunct/>
              <w:autoSpaceDE/>
              <w:autoSpaceDN/>
              <w:adjustRightInd/>
              <w:jc w:val="center"/>
              <w:textAlignment w:val="auto"/>
              <w:rPr>
                <w:b/>
                <w:bCs/>
                <w:szCs w:val="24"/>
                <w:lang w:eastAsia="en-GB"/>
              </w:rPr>
            </w:pPr>
            <w:r w:rsidRPr="00612BBC">
              <w:rPr>
                <w:b/>
                <w:bCs/>
                <w:szCs w:val="24"/>
                <w:lang w:eastAsia="en-GB"/>
              </w:rPr>
              <w:t>Compatible with first trimester </w:t>
            </w:r>
          </w:p>
        </w:tc>
        <w:tc>
          <w:tcPr>
            <w:tcW w:w="0" w:type="auto"/>
            <w:vAlign w:val="center"/>
            <w:hideMark/>
          </w:tcPr>
          <w:p w14:paraId="42B63EB3" w14:textId="77777777" w:rsidR="00612BBC" w:rsidRPr="00612BBC" w:rsidRDefault="00612BBC" w:rsidP="00612BBC">
            <w:pPr>
              <w:overflowPunct/>
              <w:autoSpaceDE/>
              <w:autoSpaceDN/>
              <w:adjustRightInd/>
              <w:jc w:val="center"/>
              <w:textAlignment w:val="auto"/>
              <w:rPr>
                <w:b/>
                <w:bCs/>
                <w:szCs w:val="24"/>
                <w:lang w:eastAsia="en-GB"/>
              </w:rPr>
            </w:pPr>
            <w:r w:rsidRPr="00612BBC">
              <w:rPr>
                <w:b/>
                <w:bCs/>
                <w:szCs w:val="24"/>
                <w:lang w:eastAsia="en-GB"/>
              </w:rPr>
              <w:t>Compatible with second/third trimester </w:t>
            </w:r>
          </w:p>
        </w:tc>
        <w:tc>
          <w:tcPr>
            <w:tcW w:w="0" w:type="auto"/>
            <w:vAlign w:val="center"/>
            <w:hideMark/>
          </w:tcPr>
          <w:p w14:paraId="64903AE2" w14:textId="77777777" w:rsidR="00612BBC" w:rsidRPr="00612BBC" w:rsidRDefault="00612BBC" w:rsidP="00612BBC">
            <w:pPr>
              <w:overflowPunct/>
              <w:autoSpaceDE/>
              <w:autoSpaceDN/>
              <w:adjustRightInd/>
              <w:jc w:val="center"/>
              <w:textAlignment w:val="auto"/>
              <w:rPr>
                <w:b/>
                <w:bCs/>
                <w:szCs w:val="24"/>
                <w:lang w:eastAsia="en-GB"/>
              </w:rPr>
            </w:pPr>
            <w:r w:rsidRPr="00612BBC">
              <w:rPr>
                <w:b/>
                <w:bCs/>
                <w:szCs w:val="24"/>
                <w:lang w:eastAsia="en-GB"/>
              </w:rPr>
              <w:t>Compatible with breastfeeding </w:t>
            </w:r>
          </w:p>
        </w:tc>
        <w:tc>
          <w:tcPr>
            <w:tcW w:w="0" w:type="auto"/>
            <w:vAlign w:val="center"/>
            <w:hideMark/>
          </w:tcPr>
          <w:p w14:paraId="0C2FD27C" w14:textId="77777777" w:rsidR="00612BBC" w:rsidRPr="00612BBC" w:rsidRDefault="00612BBC" w:rsidP="00612BBC">
            <w:pPr>
              <w:overflowPunct/>
              <w:autoSpaceDE/>
              <w:autoSpaceDN/>
              <w:adjustRightInd/>
              <w:jc w:val="center"/>
              <w:textAlignment w:val="auto"/>
              <w:rPr>
                <w:b/>
                <w:bCs/>
                <w:szCs w:val="24"/>
                <w:lang w:eastAsia="en-GB"/>
              </w:rPr>
            </w:pPr>
            <w:r w:rsidRPr="00612BBC">
              <w:rPr>
                <w:b/>
                <w:bCs/>
                <w:szCs w:val="24"/>
                <w:lang w:eastAsia="en-GB"/>
              </w:rPr>
              <w:t>Compatible with paternal exposure </w:t>
            </w:r>
          </w:p>
        </w:tc>
      </w:tr>
      <w:tr w:rsidR="00283360" w:rsidRPr="00612BBC" w14:paraId="27A651E4" w14:textId="77777777" w:rsidTr="00DA46B2">
        <w:trPr>
          <w:tblCellSpacing w:w="15" w:type="dxa"/>
        </w:trPr>
        <w:tc>
          <w:tcPr>
            <w:tcW w:w="3074" w:type="dxa"/>
            <w:vAlign w:val="center"/>
            <w:hideMark/>
          </w:tcPr>
          <w:p w14:paraId="2A9B2FA2"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Corticosteroids </w:t>
            </w:r>
          </w:p>
        </w:tc>
        <w:tc>
          <w:tcPr>
            <w:tcW w:w="2705" w:type="dxa"/>
            <w:vAlign w:val="center"/>
            <w:hideMark/>
          </w:tcPr>
          <w:p w14:paraId="1E7F2C6D"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0FD80B85"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6E3EB07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7604226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17A81E7D"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r>
      <w:tr w:rsidR="00283360" w:rsidRPr="00612BBC" w14:paraId="00D42C1B" w14:textId="77777777" w:rsidTr="00DA46B2">
        <w:trPr>
          <w:tblCellSpacing w:w="15" w:type="dxa"/>
        </w:trPr>
        <w:tc>
          <w:tcPr>
            <w:tcW w:w="3074" w:type="dxa"/>
            <w:vAlign w:val="center"/>
            <w:hideMark/>
          </w:tcPr>
          <w:p w14:paraId="32A05F50"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Prednisolone </w:t>
            </w:r>
          </w:p>
        </w:tc>
        <w:tc>
          <w:tcPr>
            <w:tcW w:w="2705" w:type="dxa"/>
            <w:vAlign w:val="center"/>
            <w:hideMark/>
          </w:tcPr>
          <w:p w14:paraId="4D753E7A"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25EAB3ED"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38054A4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3DFECAE6"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72BABC3C"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r>
      <w:tr w:rsidR="00283360" w:rsidRPr="00612BBC" w14:paraId="66E2728B" w14:textId="77777777" w:rsidTr="00DA46B2">
        <w:trPr>
          <w:tblCellSpacing w:w="15" w:type="dxa"/>
        </w:trPr>
        <w:tc>
          <w:tcPr>
            <w:tcW w:w="3074" w:type="dxa"/>
            <w:vAlign w:val="center"/>
            <w:hideMark/>
          </w:tcPr>
          <w:p w14:paraId="66ACC745"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Methylprednisolone </w:t>
            </w:r>
          </w:p>
        </w:tc>
        <w:tc>
          <w:tcPr>
            <w:tcW w:w="2705" w:type="dxa"/>
            <w:vAlign w:val="center"/>
            <w:hideMark/>
          </w:tcPr>
          <w:p w14:paraId="0D659C81"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0E31B82A"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2472D8AF"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64EF789B"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51F2B3A4"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r>
      <w:tr w:rsidR="00283360" w:rsidRPr="00612BBC" w14:paraId="33B52C4F" w14:textId="77777777" w:rsidTr="00DA46B2">
        <w:trPr>
          <w:tblCellSpacing w:w="15" w:type="dxa"/>
        </w:trPr>
        <w:tc>
          <w:tcPr>
            <w:tcW w:w="3074" w:type="dxa"/>
            <w:vAlign w:val="center"/>
            <w:hideMark/>
          </w:tcPr>
          <w:p w14:paraId="185121C7"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Antimalarials </w:t>
            </w:r>
          </w:p>
        </w:tc>
        <w:tc>
          <w:tcPr>
            <w:tcW w:w="2705" w:type="dxa"/>
            <w:vAlign w:val="center"/>
            <w:hideMark/>
          </w:tcPr>
          <w:p w14:paraId="7B899C9E"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694A449E"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61375EE7"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2440A746"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5F5DFCB9"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r>
      <w:tr w:rsidR="00283360" w:rsidRPr="00612BBC" w14:paraId="5436FCEE" w14:textId="77777777" w:rsidTr="00DA46B2">
        <w:trPr>
          <w:tblCellSpacing w:w="15" w:type="dxa"/>
        </w:trPr>
        <w:tc>
          <w:tcPr>
            <w:tcW w:w="3074" w:type="dxa"/>
            <w:vAlign w:val="center"/>
            <w:hideMark/>
          </w:tcPr>
          <w:p w14:paraId="4871AA24"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HCQ </w:t>
            </w:r>
          </w:p>
        </w:tc>
        <w:tc>
          <w:tcPr>
            <w:tcW w:w="2705" w:type="dxa"/>
            <w:vAlign w:val="center"/>
            <w:hideMark/>
          </w:tcPr>
          <w:p w14:paraId="4B98FFF1"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479FAAB9"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536563CE"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73B2C58D"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2C51ABC2"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r>
      <w:tr w:rsidR="00283360" w:rsidRPr="00612BBC" w14:paraId="14B068D1" w14:textId="77777777" w:rsidTr="00DA46B2">
        <w:trPr>
          <w:tblCellSpacing w:w="15" w:type="dxa"/>
        </w:trPr>
        <w:tc>
          <w:tcPr>
            <w:tcW w:w="3074" w:type="dxa"/>
            <w:vAlign w:val="center"/>
            <w:hideMark/>
          </w:tcPr>
          <w:p w14:paraId="5C920CED"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DMARDs </w:t>
            </w:r>
          </w:p>
        </w:tc>
        <w:tc>
          <w:tcPr>
            <w:tcW w:w="2705" w:type="dxa"/>
            <w:vAlign w:val="center"/>
            <w:hideMark/>
          </w:tcPr>
          <w:p w14:paraId="6A06D176"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229E9541"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38D09BFB"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35FCBCF5"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3BE9D580"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r>
      <w:tr w:rsidR="00283360" w:rsidRPr="00612BBC" w14:paraId="09FCF016" w14:textId="77777777" w:rsidTr="00DA46B2">
        <w:trPr>
          <w:tblCellSpacing w:w="15" w:type="dxa"/>
        </w:trPr>
        <w:tc>
          <w:tcPr>
            <w:tcW w:w="3074" w:type="dxa"/>
            <w:vAlign w:val="center"/>
            <w:hideMark/>
          </w:tcPr>
          <w:p w14:paraId="4EB1E12F"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MTX &lt;20 mg/week </w:t>
            </w:r>
          </w:p>
        </w:tc>
        <w:tc>
          <w:tcPr>
            <w:tcW w:w="2705" w:type="dxa"/>
            <w:vAlign w:val="center"/>
            <w:hideMark/>
          </w:tcPr>
          <w:p w14:paraId="191897F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Stop 3 months in advance </w:t>
            </w:r>
          </w:p>
        </w:tc>
        <w:tc>
          <w:tcPr>
            <w:tcW w:w="0" w:type="auto"/>
            <w:vAlign w:val="center"/>
            <w:hideMark/>
          </w:tcPr>
          <w:p w14:paraId="5F8A10E1"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4EB66C24"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475F8A34"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3745C0A9"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r>
      <w:tr w:rsidR="00283360" w:rsidRPr="00612BBC" w14:paraId="0C1ABC93" w14:textId="77777777" w:rsidTr="00DA46B2">
        <w:trPr>
          <w:tblCellSpacing w:w="15" w:type="dxa"/>
        </w:trPr>
        <w:tc>
          <w:tcPr>
            <w:tcW w:w="3074" w:type="dxa"/>
            <w:vAlign w:val="center"/>
            <w:hideMark/>
          </w:tcPr>
          <w:p w14:paraId="4793238E"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SSZ (with 5 mg folic acid) </w:t>
            </w:r>
          </w:p>
        </w:tc>
        <w:tc>
          <w:tcPr>
            <w:tcW w:w="2705" w:type="dxa"/>
            <w:vAlign w:val="center"/>
            <w:hideMark/>
          </w:tcPr>
          <w:p w14:paraId="72C7D4D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773CA579"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6CA518DA"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14B753D1"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b</w:t>
            </w:r>
            <w:r w:rsidRPr="00612BBC">
              <w:rPr>
                <w:szCs w:val="24"/>
                <w:lang w:eastAsia="en-GB"/>
              </w:rPr>
              <w:t> </w:t>
            </w:r>
          </w:p>
        </w:tc>
        <w:tc>
          <w:tcPr>
            <w:tcW w:w="0" w:type="auto"/>
            <w:vAlign w:val="center"/>
            <w:hideMark/>
          </w:tcPr>
          <w:p w14:paraId="58172CB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c</w:t>
            </w:r>
            <w:r w:rsidRPr="00612BBC">
              <w:rPr>
                <w:szCs w:val="24"/>
                <w:lang w:eastAsia="en-GB"/>
              </w:rPr>
              <w:t> </w:t>
            </w:r>
          </w:p>
        </w:tc>
      </w:tr>
      <w:tr w:rsidR="00283360" w:rsidRPr="00612BBC" w14:paraId="2C573065" w14:textId="77777777" w:rsidTr="00DA46B2">
        <w:trPr>
          <w:tblCellSpacing w:w="15" w:type="dxa"/>
        </w:trPr>
        <w:tc>
          <w:tcPr>
            <w:tcW w:w="3074" w:type="dxa"/>
            <w:vAlign w:val="center"/>
            <w:hideMark/>
          </w:tcPr>
          <w:p w14:paraId="78C11C4E"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LEF </w:t>
            </w:r>
          </w:p>
        </w:tc>
        <w:tc>
          <w:tcPr>
            <w:tcW w:w="2705" w:type="dxa"/>
            <w:vAlign w:val="center"/>
            <w:hideMark/>
          </w:tcPr>
          <w:p w14:paraId="2367D26D"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Cholestyramine washout, no </w:t>
            </w:r>
          </w:p>
        </w:tc>
        <w:tc>
          <w:tcPr>
            <w:tcW w:w="0" w:type="auto"/>
            <w:vAlign w:val="center"/>
            <w:hideMark/>
          </w:tcPr>
          <w:p w14:paraId="61005D4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6606BFFC"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2C000EEC"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data </w:t>
            </w:r>
          </w:p>
        </w:tc>
        <w:tc>
          <w:tcPr>
            <w:tcW w:w="0" w:type="auto"/>
            <w:vAlign w:val="center"/>
            <w:hideMark/>
          </w:tcPr>
          <w:p w14:paraId="19494E8D"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r>
      <w:tr w:rsidR="00283360" w:rsidRPr="00612BBC" w14:paraId="306B413F" w14:textId="77777777" w:rsidTr="00DA46B2">
        <w:trPr>
          <w:tblCellSpacing w:w="15" w:type="dxa"/>
        </w:trPr>
        <w:tc>
          <w:tcPr>
            <w:tcW w:w="3074" w:type="dxa"/>
            <w:vAlign w:val="center"/>
            <w:hideMark/>
          </w:tcPr>
          <w:p w14:paraId="27E85CDF"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AZA &lt;2 mg/kg/day </w:t>
            </w:r>
          </w:p>
        </w:tc>
        <w:tc>
          <w:tcPr>
            <w:tcW w:w="2705" w:type="dxa"/>
            <w:vAlign w:val="center"/>
            <w:hideMark/>
          </w:tcPr>
          <w:p w14:paraId="183FAA1C"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5D6DB881"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554C1FE1"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646FCD9B"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302FAF77"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r>
      <w:tr w:rsidR="00283360" w:rsidRPr="00612BBC" w14:paraId="20C01FF0" w14:textId="77777777" w:rsidTr="00DA46B2">
        <w:trPr>
          <w:tblCellSpacing w:w="15" w:type="dxa"/>
        </w:trPr>
        <w:tc>
          <w:tcPr>
            <w:tcW w:w="3074" w:type="dxa"/>
            <w:vAlign w:val="center"/>
            <w:hideMark/>
          </w:tcPr>
          <w:p w14:paraId="1DB2DFA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CSA </w:t>
            </w:r>
          </w:p>
        </w:tc>
        <w:tc>
          <w:tcPr>
            <w:tcW w:w="2705" w:type="dxa"/>
            <w:vAlign w:val="center"/>
            <w:hideMark/>
          </w:tcPr>
          <w:p w14:paraId="723A2A35"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3C7223B9"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d</w:t>
            </w:r>
            <w:r w:rsidRPr="00612BBC">
              <w:rPr>
                <w:szCs w:val="24"/>
                <w:lang w:eastAsia="en-GB"/>
              </w:rPr>
              <w:t> </w:t>
            </w:r>
          </w:p>
        </w:tc>
        <w:tc>
          <w:tcPr>
            <w:tcW w:w="0" w:type="auto"/>
            <w:vAlign w:val="center"/>
            <w:hideMark/>
          </w:tcPr>
          <w:p w14:paraId="01D13C6A"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d</w:t>
            </w:r>
            <w:r w:rsidRPr="00612BBC">
              <w:rPr>
                <w:szCs w:val="24"/>
                <w:lang w:eastAsia="en-GB"/>
              </w:rPr>
              <w:t> </w:t>
            </w:r>
          </w:p>
        </w:tc>
        <w:tc>
          <w:tcPr>
            <w:tcW w:w="0" w:type="auto"/>
            <w:vAlign w:val="center"/>
            <w:hideMark/>
          </w:tcPr>
          <w:p w14:paraId="53075791"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c>
          <w:tcPr>
            <w:tcW w:w="0" w:type="auto"/>
            <w:vAlign w:val="center"/>
            <w:hideMark/>
          </w:tcPr>
          <w:p w14:paraId="5BB74432"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r>
      <w:tr w:rsidR="00283360" w:rsidRPr="00612BBC" w14:paraId="752F2608" w14:textId="77777777" w:rsidTr="00DA46B2">
        <w:trPr>
          <w:tblCellSpacing w:w="15" w:type="dxa"/>
        </w:trPr>
        <w:tc>
          <w:tcPr>
            <w:tcW w:w="3074" w:type="dxa"/>
            <w:vAlign w:val="center"/>
            <w:hideMark/>
          </w:tcPr>
          <w:p w14:paraId="0595F1A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Tacrolimus </w:t>
            </w:r>
          </w:p>
        </w:tc>
        <w:tc>
          <w:tcPr>
            <w:tcW w:w="2705" w:type="dxa"/>
            <w:vAlign w:val="center"/>
            <w:hideMark/>
          </w:tcPr>
          <w:p w14:paraId="6463BD9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616C958E"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d</w:t>
            </w:r>
            <w:r w:rsidRPr="00612BBC">
              <w:rPr>
                <w:szCs w:val="24"/>
                <w:lang w:eastAsia="en-GB"/>
              </w:rPr>
              <w:t> </w:t>
            </w:r>
          </w:p>
        </w:tc>
        <w:tc>
          <w:tcPr>
            <w:tcW w:w="0" w:type="auto"/>
            <w:vAlign w:val="center"/>
            <w:hideMark/>
          </w:tcPr>
          <w:p w14:paraId="1DB24AAB"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d</w:t>
            </w:r>
            <w:r w:rsidRPr="00612BBC">
              <w:rPr>
                <w:szCs w:val="24"/>
                <w:lang w:eastAsia="en-GB"/>
              </w:rPr>
              <w:t> </w:t>
            </w:r>
          </w:p>
        </w:tc>
        <w:tc>
          <w:tcPr>
            <w:tcW w:w="0" w:type="auto"/>
            <w:vAlign w:val="center"/>
            <w:hideMark/>
          </w:tcPr>
          <w:p w14:paraId="5BE7530B"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c>
          <w:tcPr>
            <w:tcW w:w="0" w:type="auto"/>
            <w:vAlign w:val="center"/>
            <w:hideMark/>
          </w:tcPr>
          <w:p w14:paraId="5469AD6E"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r>
      <w:tr w:rsidR="00283360" w:rsidRPr="00612BBC" w14:paraId="3BFC8220" w14:textId="77777777" w:rsidTr="00DA46B2">
        <w:trPr>
          <w:tblCellSpacing w:w="15" w:type="dxa"/>
        </w:trPr>
        <w:tc>
          <w:tcPr>
            <w:tcW w:w="3074" w:type="dxa"/>
            <w:vAlign w:val="center"/>
            <w:hideMark/>
          </w:tcPr>
          <w:p w14:paraId="2CD2EF47"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CYC </w:t>
            </w:r>
          </w:p>
        </w:tc>
        <w:tc>
          <w:tcPr>
            <w:tcW w:w="2705" w:type="dxa"/>
            <w:vAlign w:val="center"/>
            <w:hideMark/>
          </w:tcPr>
          <w:p w14:paraId="33323FB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29C285C1"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No </w:t>
            </w:r>
            <w:r w:rsidRPr="00612BBC">
              <w:rPr>
                <w:szCs w:val="24"/>
                <w:vertAlign w:val="superscript"/>
                <w:lang w:eastAsia="en-GB"/>
              </w:rPr>
              <w:t>e</w:t>
            </w:r>
            <w:r w:rsidRPr="00612BBC">
              <w:rPr>
                <w:szCs w:val="24"/>
                <w:lang w:eastAsia="en-GB"/>
              </w:rPr>
              <w:t> </w:t>
            </w:r>
          </w:p>
        </w:tc>
        <w:tc>
          <w:tcPr>
            <w:tcW w:w="0" w:type="auto"/>
            <w:vAlign w:val="center"/>
            <w:hideMark/>
          </w:tcPr>
          <w:p w14:paraId="2691FAC8"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No </w:t>
            </w:r>
            <w:r w:rsidRPr="00612BBC">
              <w:rPr>
                <w:szCs w:val="24"/>
                <w:vertAlign w:val="superscript"/>
                <w:lang w:eastAsia="en-GB"/>
              </w:rPr>
              <w:t>e</w:t>
            </w:r>
            <w:r w:rsidRPr="00612BBC">
              <w:rPr>
                <w:szCs w:val="24"/>
                <w:lang w:eastAsia="en-GB"/>
              </w:rPr>
              <w:t> </w:t>
            </w:r>
          </w:p>
        </w:tc>
        <w:tc>
          <w:tcPr>
            <w:tcW w:w="0" w:type="auto"/>
            <w:vAlign w:val="center"/>
            <w:hideMark/>
          </w:tcPr>
          <w:p w14:paraId="494E90F0"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661B2F90"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r>
      <w:tr w:rsidR="00283360" w:rsidRPr="00612BBC" w14:paraId="53CD969B" w14:textId="77777777" w:rsidTr="00DA46B2">
        <w:trPr>
          <w:tblCellSpacing w:w="15" w:type="dxa"/>
        </w:trPr>
        <w:tc>
          <w:tcPr>
            <w:tcW w:w="3074" w:type="dxa"/>
            <w:vAlign w:val="center"/>
            <w:hideMark/>
          </w:tcPr>
          <w:p w14:paraId="6118E528"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MMF </w:t>
            </w:r>
          </w:p>
        </w:tc>
        <w:tc>
          <w:tcPr>
            <w:tcW w:w="2705" w:type="dxa"/>
            <w:vAlign w:val="center"/>
            <w:hideMark/>
          </w:tcPr>
          <w:p w14:paraId="131C2014"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Stop 6 weeks in advance </w:t>
            </w:r>
          </w:p>
        </w:tc>
        <w:tc>
          <w:tcPr>
            <w:tcW w:w="0" w:type="auto"/>
            <w:vAlign w:val="center"/>
            <w:hideMark/>
          </w:tcPr>
          <w:p w14:paraId="39074C00"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67FB6055"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31AB8FE5"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1DBC1711"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r>
      <w:tr w:rsidR="00283360" w:rsidRPr="00612BBC" w14:paraId="69B8EC41" w14:textId="77777777" w:rsidTr="00DA46B2">
        <w:trPr>
          <w:tblCellSpacing w:w="15" w:type="dxa"/>
        </w:trPr>
        <w:tc>
          <w:tcPr>
            <w:tcW w:w="3074" w:type="dxa"/>
            <w:vAlign w:val="center"/>
            <w:hideMark/>
          </w:tcPr>
          <w:p w14:paraId="11179154"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IVIG </w:t>
            </w:r>
          </w:p>
        </w:tc>
        <w:tc>
          <w:tcPr>
            <w:tcW w:w="2705" w:type="dxa"/>
            <w:vAlign w:val="center"/>
            <w:hideMark/>
          </w:tcPr>
          <w:p w14:paraId="502EEEE6"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338FCDEA"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2EDB541D"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2F36A8AA"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5EF14A36"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r>
      <w:tr w:rsidR="00283360" w:rsidRPr="00612BBC" w14:paraId="176B9521" w14:textId="77777777" w:rsidTr="00DA46B2">
        <w:trPr>
          <w:tblCellSpacing w:w="15" w:type="dxa"/>
        </w:trPr>
        <w:tc>
          <w:tcPr>
            <w:tcW w:w="3074" w:type="dxa"/>
            <w:vAlign w:val="center"/>
            <w:hideMark/>
          </w:tcPr>
          <w:p w14:paraId="764C765E"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Anti-TNF </w:t>
            </w:r>
          </w:p>
        </w:tc>
        <w:tc>
          <w:tcPr>
            <w:tcW w:w="2705" w:type="dxa"/>
            <w:vAlign w:val="center"/>
            <w:hideMark/>
          </w:tcPr>
          <w:p w14:paraId="6E65DE8B"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55177800"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00637B6F"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0383063A"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54929BB0"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r>
      <w:tr w:rsidR="00283360" w:rsidRPr="00612BBC" w14:paraId="669ED094" w14:textId="77777777" w:rsidTr="00DA46B2">
        <w:trPr>
          <w:tblCellSpacing w:w="15" w:type="dxa"/>
        </w:trPr>
        <w:tc>
          <w:tcPr>
            <w:tcW w:w="3074" w:type="dxa"/>
            <w:vAlign w:val="center"/>
            <w:hideMark/>
          </w:tcPr>
          <w:p w14:paraId="1544CCB0"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Infliximab </w:t>
            </w:r>
          </w:p>
        </w:tc>
        <w:tc>
          <w:tcPr>
            <w:tcW w:w="2705" w:type="dxa"/>
            <w:vAlign w:val="center"/>
            <w:hideMark/>
          </w:tcPr>
          <w:p w14:paraId="0B6D2A2C"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75F7903B"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356514C1"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Stop at 16 weeks </w:t>
            </w:r>
          </w:p>
        </w:tc>
        <w:tc>
          <w:tcPr>
            <w:tcW w:w="0" w:type="auto"/>
            <w:vAlign w:val="center"/>
            <w:hideMark/>
          </w:tcPr>
          <w:p w14:paraId="01DA0A8E"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c>
          <w:tcPr>
            <w:tcW w:w="0" w:type="auto"/>
            <w:vAlign w:val="center"/>
            <w:hideMark/>
          </w:tcPr>
          <w:p w14:paraId="24D3A648"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r>
      <w:tr w:rsidR="00283360" w:rsidRPr="00612BBC" w14:paraId="668C4680" w14:textId="77777777" w:rsidTr="00DA46B2">
        <w:trPr>
          <w:tblCellSpacing w:w="15" w:type="dxa"/>
        </w:trPr>
        <w:tc>
          <w:tcPr>
            <w:tcW w:w="3074" w:type="dxa"/>
            <w:vAlign w:val="center"/>
            <w:hideMark/>
          </w:tcPr>
          <w:p w14:paraId="75B4A5FD"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Etanercept </w:t>
            </w:r>
          </w:p>
        </w:tc>
        <w:tc>
          <w:tcPr>
            <w:tcW w:w="2705" w:type="dxa"/>
            <w:vAlign w:val="center"/>
            <w:hideMark/>
          </w:tcPr>
          <w:p w14:paraId="2E50CE27"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6D016FBA"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6B28304C"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Second but not third </w:t>
            </w:r>
          </w:p>
        </w:tc>
        <w:tc>
          <w:tcPr>
            <w:tcW w:w="0" w:type="auto"/>
            <w:vAlign w:val="center"/>
            <w:hideMark/>
          </w:tcPr>
          <w:p w14:paraId="7FD1CC04"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c>
          <w:tcPr>
            <w:tcW w:w="0" w:type="auto"/>
            <w:vAlign w:val="center"/>
            <w:hideMark/>
          </w:tcPr>
          <w:p w14:paraId="2E8CB1C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r>
      <w:tr w:rsidR="00283360" w:rsidRPr="00612BBC" w14:paraId="4567C284" w14:textId="77777777" w:rsidTr="00DA46B2">
        <w:trPr>
          <w:tblCellSpacing w:w="15" w:type="dxa"/>
        </w:trPr>
        <w:tc>
          <w:tcPr>
            <w:tcW w:w="3074" w:type="dxa"/>
            <w:vAlign w:val="center"/>
            <w:hideMark/>
          </w:tcPr>
          <w:p w14:paraId="2E799356"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Adalimumab </w:t>
            </w:r>
          </w:p>
        </w:tc>
        <w:tc>
          <w:tcPr>
            <w:tcW w:w="2705" w:type="dxa"/>
            <w:vAlign w:val="center"/>
            <w:hideMark/>
          </w:tcPr>
          <w:p w14:paraId="0916273B"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31EBC5DF"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3D12C1C5"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Second but not third </w:t>
            </w:r>
          </w:p>
        </w:tc>
        <w:tc>
          <w:tcPr>
            <w:tcW w:w="0" w:type="auto"/>
            <w:vAlign w:val="center"/>
            <w:hideMark/>
          </w:tcPr>
          <w:p w14:paraId="13A08088"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c>
          <w:tcPr>
            <w:tcW w:w="0" w:type="auto"/>
            <w:vAlign w:val="center"/>
            <w:hideMark/>
          </w:tcPr>
          <w:p w14:paraId="0F6F8C58"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r>
      <w:tr w:rsidR="00283360" w:rsidRPr="00612BBC" w14:paraId="100CA18E" w14:textId="77777777" w:rsidTr="00DA46B2">
        <w:trPr>
          <w:tblCellSpacing w:w="15" w:type="dxa"/>
        </w:trPr>
        <w:tc>
          <w:tcPr>
            <w:tcW w:w="3074" w:type="dxa"/>
            <w:vAlign w:val="center"/>
            <w:hideMark/>
          </w:tcPr>
          <w:p w14:paraId="389E24C9"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lastRenderedPageBreak/>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Certolizumab </w:t>
            </w:r>
          </w:p>
        </w:tc>
        <w:tc>
          <w:tcPr>
            <w:tcW w:w="2705" w:type="dxa"/>
            <w:vAlign w:val="center"/>
            <w:hideMark/>
          </w:tcPr>
          <w:p w14:paraId="25F5FCE7"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68F3E12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Yes </w:t>
            </w:r>
          </w:p>
        </w:tc>
        <w:tc>
          <w:tcPr>
            <w:tcW w:w="0" w:type="auto"/>
            <w:vAlign w:val="center"/>
            <w:hideMark/>
          </w:tcPr>
          <w:p w14:paraId="6F10F6E5"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c>
          <w:tcPr>
            <w:tcW w:w="0" w:type="auto"/>
            <w:vAlign w:val="center"/>
            <w:hideMark/>
          </w:tcPr>
          <w:p w14:paraId="78DCA0B4"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c>
          <w:tcPr>
            <w:tcW w:w="0" w:type="auto"/>
            <w:vAlign w:val="center"/>
            <w:hideMark/>
          </w:tcPr>
          <w:p w14:paraId="430E20C9"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data </w:t>
            </w:r>
          </w:p>
        </w:tc>
      </w:tr>
      <w:tr w:rsidR="00283360" w:rsidRPr="00612BBC" w14:paraId="3B44B646" w14:textId="77777777" w:rsidTr="00DA46B2">
        <w:trPr>
          <w:tblCellSpacing w:w="15" w:type="dxa"/>
        </w:trPr>
        <w:tc>
          <w:tcPr>
            <w:tcW w:w="3074" w:type="dxa"/>
            <w:vAlign w:val="center"/>
            <w:hideMark/>
          </w:tcPr>
          <w:p w14:paraId="4F9E7297"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Golimumab </w:t>
            </w:r>
          </w:p>
        </w:tc>
        <w:tc>
          <w:tcPr>
            <w:tcW w:w="2705" w:type="dxa"/>
            <w:vAlign w:val="center"/>
            <w:hideMark/>
          </w:tcPr>
          <w:p w14:paraId="0C9EF8EE"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data </w:t>
            </w:r>
          </w:p>
        </w:tc>
        <w:tc>
          <w:tcPr>
            <w:tcW w:w="0" w:type="auto"/>
            <w:vAlign w:val="center"/>
            <w:hideMark/>
          </w:tcPr>
          <w:p w14:paraId="49C06F6B"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data </w:t>
            </w:r>
          </w:p>
        </w:tc>
        <w:tc>
          <w:tcPr>
            <w:tcW w:w="0" w:type="auto"/>
            <w:vAlign w:val="center"/>
            <w:hideMark/>
          </w:tcPr>
          <w:p w14:paraId="767F351C"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data </w:t>
            </w:r>
          </w:p>
        </w:tc>
        <w:tc>
          <w:tcPr>
            <w:tcW w:w="0" w:type="auto"/>
            <w:vAlign w:val="center"/>
            <w:hideMark/>
          </w:tcPr>
          <w:p w14:paraId="092559D4"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data </w:t>
            </w:r>
          </w:p>
        </w:tc>
        <w:tc>
          <w:tcPr>
            <w:tcW w:w="0" w:type="auto"/>
            <w:vAlign w:val="center"/>
            <w:hideMark/>
          </w:tcPr>
          <w:p w14:paraId="78F3C7CB"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data </w:t>
            </w:r>
          </w:p>
        </w:tc>
      </w:tr>
      <w:tr w:rsidR="00283360" w:rsidRPr="00612BBC" w14:paraId="2570E88C" w14:textId="77777777" w:rsidTr="00DA46B2">
        <w:trPr>
          <w:tblCellSpacing w:w="15" w:type="dxa"/>
        </w:trPr>
        <w:tc>
          <w:tcPr>
            <w:tcW w:w="3074" w:type="dxa"/>
            <w:vAlign w:val="center"/>
            <w:hideMark/>
          </w:tcPr>
          <w:p w14:paraId="56117B4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Other biologics </w:t>
            </w:r>
          </w:p>
        </w:tc>
        <w:tc>
          <w:tcPr>
            <w:tcW w:w="2705" w:type="dxa"/>
            <w:vAlign w:val="center"/>
            <w:hideMark/>
          </w:tcPr>
          <w:p w14:paraId="77B29F64"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1A99A84E"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13DA7E3F"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4029FC6C"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c>
          <w:tcPr>
            <w:tcW w:w="0" w:type="auto"/>
            <w:vAlign w:val="center"/>
            <w:hideMark/>
          </w:tcPr>
          <w:p w14:paraId="25C5844B"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p>
        </w:tc>
      </w:tr>
      <w:tr w:rsidR="00283360" w:rsidRPr="00612BBC" w14:paraId="34677AA9" w14:textId="77777777" w:rsidTr="00DA46B2">
        <w:trPr>
          <w:tblCellSpacing w:w="15" w:type="dxa"/>
        </w:trPr>
        <w:tc>
          <w:tcPr>
            <w:tcW w:w="3074" w:type="dxa"/>
            <w:vAlign w:val="center"/>
            <w:hideMark/>
          </w:tcPr>
          <w:p w14:paraId="7795F848"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Rituximab </w:t>
            </w:r>
          </w:p>
        </w:tc>
        <w:tc>
          <w:tcPr>
            <w:tcW w:w="2705" w:type="dxa"/>
            <w:vAlign w:val="center"/>
            <w:hideMark/>
          </w:tcPr>
          <w:p w14:paraId="4F62CF8D"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Stop 6 months in advance </w:t>
            </w:r>
          </w:p>
        </w:tc>
        <w:tc>
          <w:tcPr>
            <w:tcW w:w="0" w:type="auto"/>
            <w:vAlign w:val="center"/>
            <w:hideMark/>
          </w:tcPr>
          <w:p w14:paraId="1CC1358F"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No </w:t>
            </w:r>
            <w:r w:rsidRPr="00612BBC">
              <w:rPr>
                <w:szCs w:val="24"/>
                <w:vertAlign w:val="superscript"/>
                <w:lang w:eastAsia="en-GB"/>
              </w:rPr>
              <w:t>f</w:t>
            </w:r>
            <w:r w:rsidRPr="00612BBC">
              <w:rPr>
                <w:szCs w:val="24"/>
                <w:lang w:eastAsia="en-GB"/>
              </w:rPr>
              <w:t> </w:t>
            </w:r>
          </w:p>
        </w:tc>
        <w:tc>
          <w:tcPr>
            <w:tcW w:w="0" w:type="auto"/>
            <w:vAlign w:val="center"/>
            <w:hideMark/>
          </w:tcPr>
          <w:p w14:paraId="3B30608D"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49F4E481"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data </w:t>
            </w:r>
          </w:p>
        </w:tc>
        <w:tc>
          <w:tcPr>
            <w:tcW w:w="0" w:type="auto"/>
            <w:vAlign w:val="center"/>
            <w:hideMark/>
          </w:tcPr>
          <w:p w14:paraId="52EEF630"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Yes </w:t>
            </w:r>
            <w:r w:rsidRPr="00612BBC">
              <w:rPr>
                <w:szCs w:val="24"/>
                <w:vertAlign w:val="superscript"/>
                <w:lang w:eastAsia="en-GB"/>
              </w:rPr>
              <w:t>a</w:t>
            </w:r>
            <w:r w:rsidRPr="00612BBC">
              <w:rPr>
                <w:szCs w:val="24"/>
                <w:lang w:eastAsia="en-GB"/>
              </w:rPr>
              <w:t> </w:t>
            </w:r>
          </w:p>
        </w:tc>
      </w:tr>
      <w:tr w:rsidR="00283360" w:rsidRPr="00612BBC" w14:paraId="0A087B34" w14:textId="77777777" w:rsidTr="00DA46B2">
        <w:trPr>
          <w:tblCellSpacing w:w="15" w:type="dxa"/>
        </w:trPr>
        <w:tc>
          <w:tcPr>
            <w:tcW w:w="3074" w:type="dxa"/>
            <w:vAlign w:val="center"/>
            <w:hideMark/>
          </w:tcPr>
          <w:p w14:paraId="00D97C77"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Tocilizumab </w:t>
            </w:r>
          </w:p>
        </w:tc>
        <w:tc>
          <w:tcPr>
            <w:tcW w:w="2705" w:type="dxa"/>
            <w:vAlign w:val="center"/>
            <w:hideMark/>
          </w:tcPr>
          <w:p w14:paraId="32889741"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Stop 3 months in advance </w:t>
            </w:r>
          </w:p>
        </w:tc>
        <w:tc>
          <w:tcPr>
            <w:tcW w:w="0" w:type="auto"/>
            <w:vAlign w:val="center"/>
            <w:hideMark/>
          </w:tcPr>
          <w:p w14:paraId="3D1F7108"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No </w:t>
            </w:r>
            <w:r w:rsidRPr="00612BBC">
              <w:rPr>
                <w:szCs w:val="24"/>
                <w:vertAlign w:val="superscript"/>
                <w:lang w:eastAsia="en-GB"/>
              </w:rPr>
              <w:t>f</w:t>
            </w:r>
            <w:r w:rsidRPr="00612BBC">
              <w:rPr>
                <w:szCs w:val="24"/>
                <w:lang w:eastAsia="en-GB"/>
              </w:rPr>
              <w:t> </w:t>
            </w:r>
          </w:p>
        </w:tc>
        <w:tc>
          <w:tcPr>
            <w:tcW w:w="0" w:type="auto"/>
            <w:vAlign w:val="center"/>
            <w:hideMark/>
          </w:tcPr>
          <w:p w14:paraId="7A400BC5"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06106E38"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data </w:t>
            </w:r>
          </w:p>
        </w:tc>
        <w:tc>
          <w:tcPr>
            <w:tcW w:w="0" w:type="auto"/>
            <w:vAlign w:val="center"/>
            <w:hideMark/>
          </w:tcPr>
          <w:p w14:paraId="3F611251"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No data </w:t>
            </w:r>
            <w:r w:rsidRPr="00612BBC">
              <w:rPr>
                <w:szCs w:val="24"/>
                <w:vertAlign w:val="superscript"/>
                <w:lang w:eastAsia="en-GB"/>
              </w:rPr>
              <w:t>g</w:t>
            </w:r>
            <w:r w:rsidRPr="00612BBC">
              <w:rPr>
                <w:szCs w:val="24"/>
                <w:lang w:eastAsia="en-GB"/>
              </w:rPr>
              <w:t> </w:t>
            </w:r>
          </w:p>
        </w:tc>
      </w:tr>
      <w:tr w:rsidR="00283360" w:rsidRPr="00612BBC" w14:paraId="1409AF9E" w14:textId="77777777" w:rsidTr="00DA46B2">
        <w:trPr>
          <w:tblCellSpacing w:w="15" w:type="dxa"/>
        </w:trPr>
        <w:tc>
          <w:tcPr>
            <w:tcW w:w="3074" w:type="dxa"/>
            <w:vAlign w:val="center"/>
            <w:hideMark/>
          </w:tcPr>
          <w:p w14:paraId="026B423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Anakinra </w:t>
            </w:r>
          </w:p>
        </w:tc>
        <w:tc>
          <w:tcPr>
            <w:tcW w:w="2705" w:type="dxa"/>
            <w:vAlign w:val="center"/>
            <w:hideMark/>
          </w:tcPr>
          <w:p w14:paraId="67D75CDE"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4C128F49"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No </w:t>
            </w:r>
            <w:r w:rsidRPr="00612BBC">
              <w:rPr>
                <w:szCs w:val="24"/>
                <w:vertAlign w:val="superscript"/>
                <w:lang w:eastAsia="en-GB"/>
              </w:rPr>
              <w:t>f</w:t>
            </w:r>
            <w:r w:rsidRPr="00612BBC">
              <w:rPr>
                <w:szCs w:val="24"/>
                <w:lang w:eastAsia="en-GB"/>
              </w:rPr>
              <w:t> </w:t>
            </w:r>
          </w:p>
        </w:tc>
        <w:tc>
          <w:tcPr>
            <w:tcW w:w="0" w:type="auto"/>
            <w:vAlign w:val="center"/>
            <w:hideMark/>
          </w:tcPr>
          <w:p w14:paraId="7F0FBDCE"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19F18352"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data </w:t>
            </w:r>
          </w:p>
        </w:tc>
        <w:tc>
          <w:tcPr>
            <w:tcW w:w="0" w:type="auto"/>
            <w:vAlign w:val="center"/>
            <w:hideMark/>
          </w:tcPr>
          <w:p w14:paraId="6147A173"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No data </w:t>
            </w:r>
            <w:r w:rsidRPr="00612BBC">
              <w:rPr>
                <w:szCs w:val="24"/>
                <w:vertAlign w:val="superscript"/>
                <w:lang w:eastAsia="en-GB"/>
              </w:rPr>
              <w:t>g</w:t>
            </w:r>
            <w:r w:rsidRPr="00612BBC">
              <w:rPr>
                <w:szCs w:val="24"/>
                <w:lang w:eastAsia="en-GB"/>
              </w:rPr>
              <w:t> </w:t>
            </w:r>
          </w:p>
        </w:tc>
      </w:tr>
      <w:tr w:rsidR="00283360" w:rsidRPr="00612BBC" w14:paraId="65373363" w14:textId="77777777" w:rsidTr="00DA46B2">
        <w:trPr>
          <w:tblCellSpacing w:w="15" w:type="dxa"/>
        </w:trPr>
        <w:tc>
          <w:tcPr>
            <w:tcW w:w="3074" w:type="dxa"/>
            <w:vAlign w:val="center"/>
            <w:hideMark/>
          </w:tcPr>
          <w:p w14:paraId="52A2F705"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Abatacept </w:t>
            </w:r>
          </w:p>
        </w:tc>
        <w:tc>
          <w:tcPr>
            <w:tcW w:w="2705" w:type="dxa"/>
            <w:vAlign w:val="center"/>
            <w:hideMark/>
          </w:tcPr>
          <w:p w14:paraId="50EB649D"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717FC727"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No </w:t>
            </w:r>
            <w:r w:rsidRPr="00612BBC">
              <w:rPr>
                <w:szCs w:val="24"/>
                <w:vertAlign w:val="superscript"/>
                <w:lang w:eastAsia="en-GB"/>
              </w:rPr>
              <w:t>f</w:t>
            </w:r>
            <w:r w:rsidRPr="00612BBC">
              <w:rPr>
                <w:szCs w:val="24"/>
                <w:lang w:eastAsia="en-GB"/>
              </w:rPr>
              <w:t> </w:t>
            </w:r>
          </w:p>
        </w:tc>
        <w:tc>
          <w:tcPr>
            <w:tcW w:w="0" w:type="auto"/>
            <w:vAlign w:val="center"/>
            <w:hideMark/>
          </w:tcPr>
          <w:p w14:paraId="4E08277E"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29DFDE39"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data </w:t>
            </w:r>
          </w:p>
        </w:tc>
        <w:tc>
          <w:tcPr>
            <w:tcW w:w="0" w:type="auto"/>
            <w:vAlign w:val="center"/>
            <w:hideMark/>
          </w:tcPr>
          <w:p w14:paraId="0C5CF532"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No data </w:t>
            </w:r>
            <w:r w:rsidRPr="00612BBC">
              <w:rPr>
                <w:szCs w:val="24"/>
                <w:vertAlign w:val="superscript"/>
                <w:lang w:eastAsia="en-GB"/>
              </w:rPr>
              <w:t>g</w:t>
            </w:r>
            <w:r w:rsidRPr="00612BBC">
              <w:rPr>
                <w:szCs w:val="24"/>
                <w:lang w:eastAsia="en-GB"/>
              </w:rPr>
              <w:t> </w:t>
            </w:r>
          </w:p>
        </w:tc>
      </w:tr>
      <w:tr w:rsidR="00283360" w:rsidRPr="00612BBC" w14:paraId="22FB1BFC" w14:textId="77777777" w:rsidTr="00DA46B2">
        <w:trPr>
          <w:tblCellSpacing w:w="15" w:type="dxa"/>
        </w:trPr>
        <w:tc>
          <w:tcPr>
            <w:tcW w:w="3074" w:type="dxa"/>
            <w:vAlign w:val="center"/>
            <w:hideMark/>
          </w:tcPr>
          <w:p w14:paraId="11BB4DF6"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 </w:t>
            </w:r>
            <w:r w:rsidRPr="00612BBC">
              <w:rPr>
                <w:szCs w:val="24"/>
                <w:lang w:eastAsia="en-GB"/>
              </w:rPr>
              <w:t>Belimumab </w:t>
            </w:r>
          </w:p>
        </w:tc>
        <w:tc>
          <w:tcPr>
            <w:tcW w:w="2705" w:type="dxa"/>
            <w:vAlign w:val="center"/>
            <w:hideMark/>
          </w:tcPr>
          <w:p w14:paraId="59AA868B"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7DF87AD4"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No </w:t>
            </w:r>
            <w:r w:rsidRPr="00612BBC">
              <w:rPr>
                <w:szCs w:val="24"/>
                <w:vertAlign w:val="superscript"/>
                <w:lang w:eastAsia="en-GB"/>
              </w:rPr>
              <w:t>f</w:t>
            </w:r>
            <w:r w:rsidRPr="00612BBC">
              <w:rPr>
                <w:szCs w:val="24"/>
                <w:lang w:eastAsia="en-GB"/>
              </w:rPr>
              <w:t> </w:t>
            </w:r>
          </w:p>
        </w:tc>
        <w:tc>
          <w:tcPr>
            <w:tcW w:w="0" w:type="auto"/>
            <w:vAlign w:val="center"/>
            <w:hideMark/>
          </w:tcPr>
          <w:p w14:paraId="408D0C47"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w:t>
            </w:r>
          </w:p>
        </w:tc>
        <w:tc>
          <w:tcPr>
            <w:tcW w:w="0" w:type="auto"/>
            <w:vAlign w:val="center"/>
            <w:hideMark/>
          </w:tcPr>
          <w:p w14:paraId="7E1CE3F8"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No data </w:t>
            </w:r>
          </w:p>
        </w:tc>
        <w:tc>
          <w:tcPr>
            <w:tcW w:w="0" w:type="auto"/>
            <w:vAlign w:val="center"/>
            <w:hideMark/>
          </w:tcPr>
          <w:p w14:paraId="35629BAD" w14:textId="77777777" w:rsidR="00612BBC" w:rsidRPr="00612BBC" w:rsidRDefault="00612BBC" w:rsidP="00612BBC">
            <w:pPr>
              <w:overflowPunct/>
              <w:autoSpaceDE/>
              <w:autoSpaceDN/>
              <w:adjustRightInd/>
              <w:textAlignment w:val="auto"/>
              <w:rPr>
                <w:szCs w:val="24"/>
                <w:lang w:eastAsia="en-GB"/>
              </w:rPr>
            </w:pPr>
            <w:r w:rsidRPr="00612BBC">
              <w:rPr>
                <w:szCs w:val="24"/>
                <w:lang w:eastAsia="en-GB"/>
              </w:rPr>
              <w:t xml:space="preserve">No data </w:t>
            </w:r>
            <w:r w:rsidRPr="00612BBC">
              <w:rPr>
                <w:szCs w:val="24"/>
                <w:vertAlign w:val="superscript"/>
                <w:lang w:eastAsia="en-GB"/>
              </w:rPr>
              <w:t>g</w:t>
            </w:r>
            <w:r w:rsidRPr="00612BBC">
              <w:rPr>
                <w:szCs w:val="24"/>
                <w:lang w:eastAsia="en-GB"/>
              </w:rPr>
              <w:t> </w:t>
            </w:r>
          </w:p>
        </w:tc>
      </w:tr>
      <w:tr w:rsidR="00283360" w:rsidRPr="00612BBC" w14:paraId="27C54A92" w14:textId="77777777" w:rsidTr="00DA46B2">
        <w:trPr>
          <w:tblCellSpacing w:w="15" w:type="dxa"/>
        </w:trPr>
        <w:tc>
          <w:tcPr>
            <w:tcW w:w="3074" w:type="dxa"/>
            <w:vAlign w:val="center"/>
          </w:tcPr>
          <w:p w14:paraId="77D1A48C" w14:textId="77777777" w:rsidR="00377408" w:rsidRPr="00612BBC" w:rsidRDefault="00377408" w:rsidP="00612BBC">
            <w:pPr>
              <w:overflowPunct/>
              <w:autoSpaceDE/>
              <w:autoSpaceDN/>
              <w:adjustRightInd/>
              <w:textAlignment w:val="auto"/>
              <w:rPr>
                <w:szCs w:val="24"/>
                <w:lang w:eastAsia="en-GB"/>
              </w:rPr>
            </w:pPr>
          </w:p>
        </w:tc>
        <w:tc>
          <w:tcPr>
            <w:tcW w:w="2705" w:type="dxa"/>
            <w:vAlign w:val="center"/>
          </w:tcPr>
          <w:p w14:paraId="40A279EF" w14:textId="77777777" w:rsidR="00377408" w:rsidRPr="00612BBC" w:rsidRDefault="00377408" w:rsidP="00612BBC">
            <w:pPr>
              <w:overflowPunct/>
              <w:autoSpaceDE/>
              <w:autoSpaceDN/>
              <w:adjustRightInd/>
              <w:textAlignment w:val="auto"/>
              <w:rPr>
                <w:szCs w:val="24"/>
                <w:lang w:eastAsia="en-GB"/>
              </w:rPr>
            </w:pPr>
          </w:p>
        </w:tc>
        <w:tc>
          <w:tcPr>
            <w:tcW w:w="0" w:type="auto"/>
            <w:vAlign w:val="center"/>
          </w:tcPr>
          <w:p w14:paraId="342C8F08" w14:textId="77777777" w:rsidR="00377408" w:rsidRPr="00612BBC" w:rsidRDefault="00377408" w:rsidP="00612BBC">
            <w:pPr>
              <w:overflowPunct/>
              <w:autoSpaceDE/>
              <w:autoSpaceDN/>
              <w:adjustRightInd/>
              <w:textAlignment w:val="auto"/>
              <w:rPr>
                <w:szCs w:val="24"/>
                <w:lang w:eastAsia="en-GB"/>
              </w:rPr>
            </w:pPr>
          </w:p>
        </w:tc>
        <w:tc>
          <w:tcPr>
            <w:tcW w:w="0" w:type="auto"/>
            <w:vAlign w:val="center"/>
          </w:tcPr>
          <w:p w14:paraId="2C77EB24" w14:textId="77777777" w:rsidR="00377408" w:rsidRPr="00612BBC" w:rsidRDefault="00377408" w:rsidP="00612BBC">
            <w:pPr>
              <w:overflowPunct/>
              <w:autoSpaceDE/>
              <w:autoSpaceDN/>
              <w:adjustRightInd/>
              <w:textAlignment w:val="auto"/>
              <w:rPr>
                <w:szCs w:val="24"/>
                <w:lang w:eastAsia="en-GB"/>
              </w:rPr>
            </w:pPr>
          </w:p>
        </w:tc>
        <w:tc>
          <w:tcPr>
            <w:tcW w:w="0" w:type="auto"/>
            <w:vAlign w:val="center"/>
          </w:tcPr>
          <w:p w14:paraId="0F8497A0" w14:textId="77777777" w:rsidR="00377408" w:rsidRPr="00612BBC" w:rsidRDefault="00377408" w:rsidP="00612BBC">
            <w:pPr>
              <w:overflowPunct/>
              <w:autoSpaceDE/>
              <w:autoSpaceDN/>
              <w:adjustRightInd/>
              <w:textAlignment w:val="auto"/>
              <w:rPr>
                <w:szCs w:val="24"/>
                <w:lang w:eastAsia="en-GB"/>
              </w:rPr>
            </w:pPr>
          </w:p>
        </w:tc>
        <w:tc>
          <w:tcPr>
            <w:tcW w:w="0" w:type="auto"/>
            <w:vAlign w:val="center"/>
          </w:tcPr>
          <w:p w14:paraId="6CB99CE7" w14:textId="77777777" w:rsidR="00377408" w:rsidRPr="00612BBC" w:rsidRDefault="00377408" w:rsidP="00612BBC">
            <w:pPr>
              <w:overflowPunct/>
              <w:autoSpaceDE/>
              <w:autoSpaceDN/>
              <w:adjustRightInd/>
              <w:textAlignment w:val="auto"/>
              <w:rPr>
                <w:szCs w:val="24"/>
                <w:lang w:eastAsia="en-GB"/>
              </w:rPr>
            </w:pPr>
          </w:p>
        </w:tc>
      </w:tr>
      <w:tr w:rsidR="00283360" w:rsidRPr="00612BBC" w14:paraId="1312E9A0" w14:textId="77777777" w:rsidTr="00DA46B2">
        <w:trPr>
          <w:tblCellSpacing w:w="15" w:type="dxa"/>
        </w:trPr>
        <w:tc>
          <w:tcPr>
            <w:tcW w:w="3074" w:type="dxa"/>
            <w:vAlign w:val="center"/>
          </w:tcPr>
          <w:p w14:paraId="14F0D03A" w14:textId="47895A6A" w:rsidR="00377408" w:rsidRPr="00612BBC" w:rsidRDefault="00377408" w:rsidP="00612BBC">
            <w:pPr>
              <w:overflowPunct/>
              <w:autoSpaceDE/>
              <w:autoSpaceDN/>
              <w:adjustRightInd/>
              <w:textAlignment w:val="auto"/>
              <w:rPr>
                <w:szCs w:val="24"/>
                <w:lang w:eastAsia="en-GB"/>
              </w:rPr>
            </w:pPr>
            <w:r>
              <w:rPr>
                <w:szCs w:val="24"/>
                <w:lang w:eastAsia="en-GB"/>
              </w:rPr>
              <w:t>Apremilast</w:t>
            </w:r>
          </w:p>
        </w:tc>
        <w:tc>
          <w:tcPr>
            <w:tcW w:w="2705" w:type="dxa"/>
            <w:vAlign w:val="center"/>
          </w:tcPr>
          <w:p w14:paraId="75711091" w14:textId="01E38116" w:rsidR="00377408" w:rsidRPr="00612BBC" w:rsidRDefault="00377408" w:rsidP="00612BBC">
            <w:pPr>
              <w:overflowPunct/>
              <w:autoSpaceDE/>
              <w:autoSpaceDN/>
              <w:adjustRightInd/>
              <w:textAlignment w:val="auto"/>
              <w:rPr>
                <w:szCs w:val="24"/>
                <w:lang w:eastAsia="en-GB"/>
              </w:rPr>
            </w:pPr>
            <w:r>
              <w:rPr>
                <w:szCs w:val="24"/>
                <w:lang w:eastAsia="en-GB"/>
              </w:rPr>
              <w:t>No human data; m</w:t>
            </w:r>
            <w:r w:rsidRPr="00377408">
              <w:rPr>
                <w:szCs w:val="24"/>
                <w:lang w:eastAsia="en-GB"/>
              </w:rPr>
              <w:t>anufacturer recommends contraception throughout treatment.</w:t>
            </w:r>
          </w:p>
        </w:tc>
        <w:tc>
          <w:tcPr>
            <w:tcW w:w="0" w:type="auto"/>
            <w:vAlign w:val="center"/>
          </w:tcPr>
          <w:p w14:paraId="0D95802B" w14:textId="712AC905" w:rsidR="00377408" w:rsidRPr="00612BBC" w:rsidRDefault="00DA46B2" w:rsidP="00612BBC">
            <w:pPr>
              <w:overflowPunct/>
              <w:autoSpaceDE/>
              <w:autoSpaceDN/>
              <w:adjustRightInd/>
              <w:textAlignment w:val="auto"/>
              <w:rPr>
                <w:szCs w:val="24"/>
                <w:lang w:eastAsia="en-GB"/>
              </w:rPr>
            </w:pPr>
            <w:r w:rsidRPr="00612BBC">
              <w:rPr>
                <w:szCs w:val="24"/>
                <w:lang w:eastAsia="en-GB"/>
              </w:rPr>
              <w:t xml:space="preserve">No </w:t>
            </w:r>
            <w:r>
              <w:rPr>
                <w:szCs w:val="24"/>
                <w:lang w:eastAsia="en-GB"/>
              </w:rPr>
              <w:t xml:space="preserve">human </w:t>
            </w:r>
            <w:r w:rsidRPr="00612BBC">
              <w:rPr>
                <w:szCs w:val="24"/>
                <w:lang w:eastAsia="en-GB"/>
              </w:rPr>
              <w:t>data </w:t>
            </w:r>
          </w:p>
        </w:tc>
        <w:tc>
          <w:tcPr>
            <w:tcW w:w="0" w:type="auto"/>
            <w:vAlign w:val="center"/>
          </w:tcPr>
          <w:p w14:paraId="3B629DE8" w14:textId="7DBA8191" w:rsidR="00377408" w:rsidRPr="00612BBC" w:rsidRDefault="00DA46B2" w:rsidP="00612BBC">
            <w:pPr>
              <w:overflowPunct/>
              <w:autoSpaceDE/>
              <w:autoSpaceDN/>
              <w:adjustRightInd/>
              <w:textAlignment w:val="auto"/>
              <w:rPr>
                <w:szCs w:val="24"/>
                <w:lang w:eastAsia="en-GB"/>
              </w:rPr>
            </w:pPr>
            <w:r w:rsidRPr="00612BBC">
              <w:rPr>
                <w:szCs w:val="24"/>
                <w:lang w:eastAsia="en-GB"/>
              </w:rPr>
              <w:t xml:space="preserve">No </w:t>
            </w:r>
            <w:r>
              <w:rPr>
                <w:szCs w:val="24"/>
                <w:lang w:eastAsia="en-GB"/>
              </w:rPr>
              <w:t xml:space="preserve">human </w:t>
            </w:r>
            <w:r w:rsidRPr="00612BBC">
              <w:rPr>
                <w:szCs w:val="24"/>
                <w:lang w:eastAsia="en-GB"/>
              </w:rPr>
              <w:t>data </w:t>
            </w:r>
          </w:p>
        </w:tc>
        <w:tc>
          <w:tcPr>
            <w:tcW w:w="0" w:type="auto"/>
            <w:vAlign w:val="center"/>
          </w:tcPr>
          <w:p w14:paraId="51508E2B" w14:textId="2941D042" w:rsidR="00377408" w:rsidRPr="00612BBC" w:rsidRDefault="00377408" w:rsidP="00612BBC">
            <w:pPr>
              <w:overflowPunct/>
              <w:autoSpaceDE/>
              <w:autoSpaceDN/>
              <w:adjustRightInd/>
              <w:textAlignment w:val="auto"/>
              <w:rPr>
                <w:szCs w:val="24"/>
                <w:lang w:eastAsia="en-GB"/>
              </w:rPr>
            </w:pPr>
            <w:r>
              <w:rPr>
                <w:szCs w:val="24"/>
                <w:lang w:eastAsia="en-GB"/>
              </w:rPr>
              <w:t xml:space="preserve">No </w:t>
            </w:r>
            <w:r w:rsidR="00DA46B2">
              <w:rPr>
                <w:szCs w:val="24"/>
                <w:lang w:eastAsia="en-GB"/>
              </w:rPr>
              <w:t xml:space="preserve">human </w:t>
            </w:r>
            <w:r>
              <w:rPr>
                <w:szCs w:val="24"/>
                <w:lang w:eastAsia="en-GB"/>
              </w:rPr>
              <w:t xml:space="preserve">data; </w:t>
            </w:r>
            <w:r w:rsidR="00295352">
              <w:rPr>
                <w:szCs w:val="24"/>
                <w:lang w:eastAsia="en-GB"/>
              </w:rPr>
              <w:t xml:space="preserve">recommend avoid as </w:t>
            </w:r>
            <w:r>
              <w:rPr>
                <w:szCs w:val="24"/>
                <w:lang w:eastAsia="en-GB"/>
              </w:rPr>
              <w:t>c</w:t>
            </w:r>
            <w:r w:rsidRPr="00377408">
              <w:rPr>
                <w:szCs w:val="24"/>
                <w:lang w:eastAsia="en-GB"/>
              </w:rPr>
              <w:t>onsidered a small enough molecule that passage into breast milk is possible, with reasonable oral absorption by the infant.</w:t>
            </w:r>
          </w:p>
        </w:tc>
        <w:tc>
          <w:tcPr>
            <w:tcW w:w="0" w:type="auto"/>
            <w:vAlign w:val="center"/>
          </w:tcPr>
          <w:p w14:paraId="1A6AED00" w14:textId="532960CD" w:rsidR="00377408" w:rsidRPr="00612BBC" w:rsidRDefault="00377408" w:rsidP="00612BBC">
            <w:pPr>
              <w:overflowPunct/>
              <w:autoSpaceDE/>
              <w:autoSpaceDN/>
              <w:adjustRightInd/>
              <w:textAlignment w:val="auto"/>
              <w:rPr>
                <w:szCs w:val="24"/>
                <w:lang w:eastAsia="en-GB"/>
              </w:rPr>
            </w:pPr>
            <w:r w:rsidRPr="00612BBC">
              <w:rPr>
                <w:szCs w:val="24"/>
                <w:lang w:eastAsia="en-GB"/>
              </w:rPr>
              <w:t xml:space="preserve">No </w:t>
            </w:r>
            <w:r w:rsidR="00DA46B2">
              <w:rPr>
                <w:szCs w:val="24"/>
                <w:lang w:eastAsia="en-GB"/>
              </w:rPr>
              <w:t xml:space="preserve">human </w:t>
            </w:r>
            <w:r w:rsidRPr="00612BBC">
              <w:rPr>
                <w:szCs w:val="24"/>
                <w:lang w:eastAsia="en-GB"/>
              </w:rPr>
              <w:t>data </w:t>
            </w:r>
          </w:p>
        </w:tc>
      </w:tr>
      <w:tr w:rsidR="00283360" w:rsidRPr="00612BBC" w14:paraId="5041CBE1" w14:textId="77777777" w:rsidTr="00DA46B2">
        <w:trPr>
          <w:tblCellSpacing w:w="15" w:type="dxa"/>
        </w:trPr>
        <w:tc>
          <w:tcPr>
            <w:tcW w:w="3074" w:type="dxa"/>
            <w:vAlign w:val="center"/>
          </w:tcPr>
          <w:p w14:paraId="4C486089" w14:textId="18DCC856" w:rsidR="00377408" w:rsidRPr="00612BBC" w:rsidRDefault="00377408" w:rsidP="00612BBC">
            <w:pPr>
              <w:overflowPunct/>
              <w:autoSpaceDE/>
              <w:autoSpaceDN/>
              <w:adjustRightInd/>
              <w:textAlignment w:val="auto"/>
              <w:rPr>
                <w:szCs w:val="24"/>
                <w:lang w:eastAsia="en-GB"/>
              </w:rPr>
            </w:pPr>
            <w:r>
              <w:rPr>
                <w:szCs w:val="24"/>
                <w:lang w:eastAsia="en-GB"/>
              </w:rPr>
              <w:t>Baracitinib</w:t>
            </w:r>
          </w:p>
        </w:tc>
        <w:tc>
          <w:tcPr>
            <w:tcW w:w="2705" w:type="dxa"/>
            <w:vAlign w:val="center"/>
          </w:tcPr>
          <w:p w14:paraId="0FAC32DA" w14:textId="33CCC9C3" w:rsidR="00377408" w:rsidRPr="00612BBC" w:rsidRDefault="00AC1290" w:rsidP="00AC1290">
            <w:pPr>
              <w:overflowPunct/>
              <w:autoSpaceDE/>
              <w:autoSpaceDN/>
              <w:adjustRightInd/>
              <w:textAlignment w:val="auto"/>
              <w:rPr>
                <w:szCs w:val="24"/>
                <w:lang w:eastAsia="en-GB"/>
              </w:rPr>
            </w:pPr>
            <w:r>
              <w:rPr>
                <w:szCs w:val="24"/>
                <w:lang w:eastAsia="en-GB"/>
              </w:rPr>
              <w:t>M</w:t>
            </w:r>
            <w:r w:rsidRPr="00AC1290">
              <w:rPr>
                <w:szCs w:val="24"/>
                <w:lang w:eastAsia="en-GB"/>
              </w:rPr>
              <w:t>anufacturer recommend</w:t>
            </w:r>
            <w:r>
              <w:rPr>
                <w:szCs w:val="24"/>
                <w:lang w:eastAsia="en-GB"/>
              </w:rPr>
              <w:t>s</w:t>
            </w:r>
            <w:r w:rsidRPr="00AC1290">
              <w:rPr>
                <w:szCs w:val="24"/>
                <w:lang w:eastAsia="en-GB"/>
              </w:rPr>
              <w:t xml:space="preserve"> use effective contraception during and for at least 1 week after treatment. </w:t>
            </w:r>
          </w:p>
        </w:tc>
        <w:tc>
          <w:tcPr>
            <w:tcW w:w="0" w:type="auto"/>
            <w:vAlign w:val="center"/>
          </w:tcPr>
          <w:p w14:paraId="1218B5D9" w14:textId="77777777" w:rsidR="00D56B63" w:rsidRDefault="00D56B63" w:rsidP="00D56B63">
            <w:pPr>
              <w:overflowPunct/>
              <w:autoSpaceDE/>
              <w:autoSpaceDN/>
              <w:adjustRightInd/>
              <w:textAlignment w:val="auto"/>
              <w:rPr>
                <w:szCs w:val="24"/>
                <w:lang w:eastAsia="en-GB"/>
              </w:rPr>
            </w:pPr>
            <w:r>
              <w:rPr>
                <w:szCs w:val="24"/>
                <w:lang w:eastAsia="en-GB"/>
              </w:rPr>
              <w:t>No human data – manufacturer advises against use</w:t>
            </w:r>
          </w:p>
          <w:p w14:paraId="5C279FD3" w14:textId="5AA31203" w:rsidR="00377408" w:rsidRPr="00612BBC" w:rsidRDefault="00D56B63" w:rsidP="00612BBC">
            <w:pPr>
              <w:overflowPunct/>
              <w:autoSpaceDE/>
              <w:autoSpaceDN/>
              <w:adjustRightInd/>
              <w:textAlignment w:val="auto"/>
              <w:rPr>
                <w:szCs w:val="24"/>
                <w:lang w:eastAsia="en-GB"/>
              </w:rPr>
            </w:pPr>
            <w:r>
              <w:rPr>
                <w:szCs w:val="24"/>
                <w:lang w:eastAsia="en-GB"/>
              </w:rPr>
              <w:t>A</w:t>
            </w:r>
            <w:r w:rsidR="00AC1290">
              <w:rPr>
                <w:szCs w:val="24"/>
                <w:lang w:eastAsia="en-GB"/>
              </w:rPr>
              <w:t>nimal studies show teratogenicity</w:t>
            </w:r>
          </w:p>
        </w:tc>
        <w:tc>
          <w:tcPr>
            <w:tcW w:w="0" w:type="auto"/>
            <w:vAlign w:val="center"/>
          </w:tcPr>
          <w:p w14:paraId="772B3831" w14:textId="3A0E2961" w:rsidR="00377408" w:rsidRPr="00612BBC" w:rsidRDefault="00DA46B2" w:rsidP="00612BBC">
            <w:pPr>
              <w:overflowPunct/>
              <w:autoSpaceDE/>
              <w:autoSpaceDN/>
              <w:adjustRightInd/>
              <w:textAlignment w:val="auto"/>
              <w:rPr>
                <w:szCs w:val="24"/>
                <w:lang w:eastAsia="en-GB"/>
              </w:rPr>
            </w:pPr>
            <w:r w:rsidRPr="00612BBC">
              <w:rPr>
                <w:szCs w:val="24"/>
                <w:lang w:eastAsia="en-GB"/>
              </w:rPr>
              <w:t xml:space="preserve">No </w:t>
            </w:r>
            <w:r>
              <w:rPr>
                <w:szCs w:val="24"/>
                <w:lang w:eastAsia="en-GB"/>
              </w:rPr>
              <w:t xml:space="preserve">human </w:t>
            </w:r>
            <w:r w:rsidRPr="00612BBC">
              <w:rPr>
                <w:szCs w:val="24"/>
                <w:lang w:eastAsia="en-GB"/>
              </w:rPr>
              <w:t>data </w:t>
            </w:r>
            <w:r>
              <w:rPr>
                <w:szCs w:val="24"/>
                <w:lang w:eastAsia="en-GB"/>
              </w:rPr>
              <w:t xml:space="preserve"> </w:t>
            </w:r>
            <w:r w:rsidR="00AC1290">
              <w:rPr>
                <w:szCs w:val="24"/>
                <w:lang w:eastAsia="en-GB"/>
              </w:rPr>
              <w:t>but animal studies show teratogenicity</w:t>
            </w:r>
          </w:p>
        </w:tc>
        <w:tc>
          <w:tcPr>
            <w:tcW w:w="0" w:type="auto"/>
            <w:vAlign w:val="center"/>
          </w:tcPr>
          <w:p w14:paraId="5017A823" w14:textId="2F360011" w:rsidR="00377408" w:rsidRPr="00612BBC" w:rsidRDefault="00AC1290" w:rsidP="00612BBC">
            <w:pPr>
              <w:overflowPunct/>
              <w:autoSpaceDE/>
              <w:autoSpaceDN/>
              <w:adjustRightInd/>
              <w:textAlignment w:val="auto"/>
              <w:rPr>
                <w:szCs w:val="24"/>
                <w:lang w:eastAsia="en-GB"/>
              </w:rPr>
            </w:pPr>
            <w:r>
              <w:rPr>
                <w:szCs w:val="24"/>
                <w:lang w:eastAsia="en-GB"/>
              </w:rPr>
              <w:t xml:space="preserve">No </w:t>
            </w:r>
            <w:r w:rsidR="00DA46B2">
              <w:rPr>
                <w:szCs w:val="24"/>
                <w:lang w:eastAsia="en-GB"/>
              </w:rPr>
              <w:t xml:space="preserve">human </w:t>
            </w:r>
            <w:r>
              <w:rPr>
                <w:szCs w:val="24"/>
                <w:lang w:eastAsia="en-GB"/>
              </w:rPr>
              <w:t xml:space="preserve">data; </w:t>
            </w:r>
            <w:r w:rsidR="00295352">
              <w:rPr>
                <w:szCs w:val="24"/>
                <w:lang w:eastAsia="en-GB"/>
              </w:rPr>
              <w:t xml:space="preserve">recommend avoid as </w:t>
            </w:r>
            <w:r>
              <w:rPr>
                <w:szCs w:val="24"/>
                <w:lang w:eastAsia="en-GB"/>
              </w:rPr>
              <w:t>c</w:t>
            </w:r>
            <w:r w:rsidRPr="00377408">
              <w:rPr>
                <w:szCs w:val="24"/>
                <w:lang w:eastAsia="en-GB"/>
              </w:rPr>
              <w:t>onsidered a small enough molecule that passage into breast milk is possible, with reasonable oral absorption by the infant.</w:t>
            </w:r>
          </w:p>
        </w:tc>
        <w:tc>
          <w:tcPr>
            <w:tcW w:w="0" w:type="auto"/>
            <w:vAlign w:val="center"/>
          </w:tcPr>
          <w:p w14:paraId="369A15C4" w14:textId="4E232056" w:rsidR="00377408" w:rsidRPr="00612BBC" w:rsidRDefault="00DA46B2" w:rsidP="00612BBC">
            <w:pPr>
              <w:overflowPunct/>
              <w:autoSpaceDE/>
              <w:autoSpaceDN/>
              <w:adjustRightInd/>
              <w:textAlignment w:val="auto"/>
              <w:rPr>
                <w:szCs w:val="24"/>
                <w:lang w:eastAsia="en-GB"/>
              </w:rPr>
            </w:pPr>
            <w:r>
              <w:rPr>
                <w:szCs w:val="24"/>
                <w:lang w:eastAsia="en-GB"/>
              </w:rPr>
              <w:t>No human data – animal studies show no effect</w:t>
            </w:r>
          </w:p>
        </w:tc>
      </w:tr>
      <w:tr w:rsidR="00283360" w:rsidRPr="00612BBC" w14:paraId="22DA1B0C" w14:textId="77777777" w:rsidTr="00DA46B2">
        <w:trPr>
          <w:tblCellSpacing w:w="15" w:type="dxa"/>
        </w:trPr>
        <w:tc>
          <w:tcPr>
            <w:tcW w:w="3074" w:type="dxa"/>
            <w:vAlign w:val="center"/>
          </w:tcPr>
          <w:p w14:paraId="0737621D" w14:textId="4E4FAD51" w:rsidR="00DA46B2" w:rsidRPr="00612BBC" w:rsidRDefault="00DA46B2" w:rsidP="00DA46B2">
            <w:pPr>
              <w:overflowPunct/>
              <w:autoSpaceDE/>
              <w:autoSpaceDN/>
              <w:adjustRightInd/>
              <w:textAlignment w:val="auto"/>
              <w:rPr>
                <w:szCs w:val="24"/>
                <w:lang w:eastAsia="en-GB"/>
              </w:rPr>
            </w:pPr>
            <w:r>
              <w:rPr>
                <w:szCs w:val="24"/>
                <w:lang w:eastAsia="en-GB"/>
              </w:rPr>
              <w:t>Tofacitinib</w:t>
            </w:r>
          </w:p>
        </w:tc>
        <w:tc>
          <w:tcPr>
            <w:tcW w:w="2705" w:type="dxa"/>
            <w:vAlign w:val="center"/>
          </w:tcPr>
          <w:p w14:paraId="72BBB12C" w14:textId="2DFF9F74" w:rsidR="00DA46B2" w:rsidRPr="00612BBC" w:rsidRDefault="00DA46B2" w:rsidP="00DA46B2">
            <w:pPr>
              <w:overflowPunct/>
              <w:autoSpaceDE/>
              <w:autoSpaceDN/>
              <w:adjustRightInd/>
              <w:textAlignment w:val="auto"/>
              <w:rPr>
                <w:szCs w:val="24"/>
                <w:lang w:eastAsia="en-GB"/>
              </w:rPr>
            </w:pPr>
            <w:r>
              <w:rPr>
                <w:szCs w:val="24"/>
                <w:lang w:eastAsia="en-GB"/>
              </w:rPr>
              <w:t>M</w:t>
            </w:r>
            <w:r w:rsidRPr="00DA46B2">
              <w:rPr>
                <w:szCs w:val="24"/>
                <w:lang w:eastAsia="en-GB"/>
              </w:rPr>
              <w:t xml:space="preserve">anufacturer advises use effective contraception during treatment </w:t>
            </w:r>
            <w:r>
              <w:rPr>
                <w:szCs w:val="24"/>
                <w:lang w:eastAsia="en-GB"/>
              </w:rPr>
              <w:t xml:space="preserve">and </w:t>
            </w:r>
            <w:r w:rsidRPr="00DA46B2">
              <w:rPr>
                <w:szCs w:val="24"/>
                <w:lang w:eastAsia="en-GB"/>
              </w:rPr>
              <w:t>for at least 4 weeks after the last dose.</w:t>
            </w:r>
          </w:p>
        </w:tc>
        <w:tc>
          <w:tcPr>
            <w:tcW w:w="0" w:type="auto"/>
            <w:vAlign w:val="center"/>
          </w:tcPr>
          <w:p w14:paraId="3EF8E491" w14:textId="2923435F" w:rsidR="00DA46B2" w:rsidRDefault="00DA46B2" w:rsidP="00DA46B2">
            <w:pPr>
              <w:overflowPunct/>
              <w:autoSpaceDE/>
              <w:autoSpaceDN/>
              <w:adjustRightInd/>
              <w:textAlignment w:val="auto"/>
              <w:rPr>
                <w:szCs w:val="24"/>
                <w:lang w:eastAsia="en-GB"/>
              </w:rPr>
            </w:pPr>
            <w:r>
              <w:rPr>
                <w:szCs w:val="24"/>
                <w:lang w:eastAsia="en-GB"/>
              </w:rPr>
              <w:t>No human data – manufacturer advises against use</w:t>
            </w:r>
            <w:r w:rsidR="00D56B63">
              <w:rPr>
                <w:szCs w:val="24"/>
                <w:lang w:eastAsia="en-GB"/>
              </w:rPr>
              <w:t>.</w:t>
            </w:r>
          </w:p>
          <w:p w14:paraId="2588DF7E" w14:textId="3A816AF1" w:rsidR="00DA46B2" w:rsidRPr="00612BBC" w:rsidRDefault="00D56B63" w:rsidP="00DA46B2">
            <w:pPr>
              <w:overflowPunct/>
              <w:autoSpaceDE/>
              <w:autoSpaceDN/>
              <w:adjustRightInd/>
              <w:textAlignment w:val="auto"/>
              <w:rPr>
                <w:szCs w:val="24"/>
                <w:lang w:eastAsia="en-GB"/>
              </w:rPr>
            </w:pPr>
            <w:r>
              <w:rPr>
                <w:szCs w:val="24"/>
                <w:lang w:eastAsia="en-GB"/>
              </w:rPr>
              <w:t>A</w:t>
            </w:r>
            <w:r w:rsidR="00DA46B2">
              <w:rPr>
                <w:szCs w:val="24"/>
                <w:lang w:eastAsia="en-GB"/>
              </w:rPr>
              <w:t>nimal studies show teratogenicity</w:t>
            </w:r>
          </w:p>
        </w:tc>
        <w:tc>
          <w:tcPr>
            <w:tcW w:w="0" w:type="auto"/>
            <w:vAlign w:val="center"/>
          </w:tcPr>
          <w:p w14:paraId="0EF2BE04" w14:textId="05246B27" w:rsidR="00DA46B2" w:rsidRPr="00612BBC" w:rsidRDefault="00DA46B2" w:rsidP="00DA46B2">
            <w:pPr>
              <w:overflowPunct/>
              <w:autoSpaceDE/>
              <w:autoSpaceDN/>
              <w:adjustRightInd/>
              <w:textAlignment w:val="auto"/>
              <w:rPr>
                <w:szCs w:val="24"/>
                <w:lang w:eastAsia="en-GB"/>
              </w:rPr>
            </w:pPr>
            <w:r>
              <w:rPr>
                <w:szCs w:val="24"/>
                <w:lang w:eastAsia="en-GB"/>
              </w:rPr>
              <w:t xml:space="preserve">No human data; </w:t>
            </w:r>
            <w:r w:rsidRPr="00DA46B2">
              <w:rPr>
                <w:szCs w:val="24"/>
                <w:lang w:eastAsia="en-GB"/>
              </w:rPr>
              <w:t xml:space="preserve">parturition and peri/postnatal development </w:t>
            </w:r>
            <w:r>
              <w:rPr>
                <w:szCs w:val="24"/>
                <w:lang w:eastAsia="en-GB"/>
              </w:rPr>
              <w:t>affected in animals</w:t>
            </w:r>
          </w:p>
        </w:tc>
        <w:tc>
          <w:tcPr>
            <w:tcW w:w="0" w:type="auto"/>
            <w:vAlign w:val="center"/>
          </w:tcPr>
          <w:p w14:paraId="11705FBF" w14:textId="304A4CB3" w:rsidR="00DA46B2" w:rsidRPr="00612BBC" w:rsidRDefault="00DA46B2" w:rsidP="00DA46B2">
            <w:pPr>
              <w:overflowPunct/>
              <w:autoSpaceDE/>
              <w:autoSpaceDN/>
              <w:adjustRightInd/>
              <w:textAlignment w:val="auto"/>
              <w:rPr>
                <w:szCs w:val="24"/>
                <w:lang w:eastAsia="en-GB"/>
              </w:rPr>
            </w:pPr>
            <w:r>
              <w:rPr>
                <w:szCs w:val="24"/>
                <w:lang w:eastAsia="en-GB"/>
              </w:rPr>
              <w:t>No human data; Manufacturer advises breast feeding is contra-indicated.</w:t>
            </w:r>
            <w:r w:rsidR="00295352">
              <w:rPr>
                <w:szCs w:val="24"/>
                <w:lang w:eastAsia="en-GB"/>
              </w:rPr>
              <w:t xml:space="preserve"> Recommend avoid as</w:t>
            </w:r>
            <w:r>
              <w:rPr>
                <w:szCs w:val="24"/>
                <w:lang w:eastAsia="en-GB"/>
              </w:rPr>
              <w:t xml:space="preserve"> c</w:t>
            </w:r>
            <w:r w:rsidRPr="00377408">
              <w:rPr>
                <w:szCs w:val="24"/>
                <w:lang w:eastAsia="en-GB"/>
              </w:rPr>
              <w:t xml:space="preserve">onsidered a small enough molecule that passage into </w:t>
            </w:r>
            <w:r w:rsidRPr="00377408">
              <w:rPr>
                <w:szCs w:val="24"/>
                <w:lang w:eastAsia="en-GB"/>
              </w:rPr>
              <w:lastRenderedPageBreak/>
              <w:t>breast milk is possible, with reasonable oral absorption by the infant.</w:t>
            </w:r>
          </w:p>
        </w:tc>
        <w:tc>
          <w:tcPr>
            <w:tcW w:w="0" w:type="auto"/>
            <w:vAlign w:val="center"/>
          </w:tcPr>
          <w:p w14:paraId="1F15D005" w14:textId="252F37C4" w:rsidR="00DA46B2" w:rsidRPr="00612BBC" w:rsidRDefault="00DA46B2" w:rsidP="00DA46B2">
            <w:pPr>
              <w:overflowPunct/>
              <w:autoSpaceDE/>
              <w:autoSpaceDN/>
              <w:adjustRightInd/>
              <w:textAlignment w:val="auto"/>
              <w:rPr>
                <w:szCs w:val="24"/>
                <w:lang w:eastAsia="en-GB"/>
              </w:rPr>
            </w:pPr>
            <w:r>
              <w:rPr>
                <w:szCs w:val="24"/>
                <w:lang w:eastAsia="en-GB"/>
              </w:rPr>
              <w:lastRenderedPageBreak/>
              <w:t>No human data – animal studies show no effect</w:t>
            </w:r>
          </w:p>
        </w:tc>
      </w:tr>
      <w:tr w:rsidR="00283360" w:rsidRPr="00612BBC" w14:paraId="15DA5873" w14:textId="77777777" w:rsidTr="00DA46B2">
        <w:trPr>
          <w:tblCellSpacing w:w="15" w:type="dxa"/>
        </w:trPr>
        <w:tc>
          <w:tcPr>
            <w:tcW w:w="3074" w:type="dxa"/>
            <w:vAlign w:val="center"/>
          </w:tcPr>
          <w:p w14:paraId="204C2E4A" w14:textId="77777777" w:rsidR="00DA46B2" w:rsidRPr="00612BBC" w:rsidRDefault="00DA46B2" w:rsidP="00DA46B2">
            <w:pPr>
              <w:overflowPunct/>
              <w:autoSpaceDE/>
              <w:autoSpaceDN/>
              <w:adjustRightInd/>
              <w:textAlignment w:val="auto"/>
              <w:rPr>
                <w:szCs w:val="24"/>
                <w:lang w:eastAsia="en-GB"/>
              </w:rPr>
            </w:pPr>
          </w:p>
        </w:tc>
        <w:tc>
          <w:tcPr>
            <w:tcW w:w="2705" w:type="dxa"/>
            <w:vAlign w:val="center"/>
          </w:tcPr>
          <w:p w14:paraId="2598A0CE" w14:textId="77777777" w:rsidR="00DA46B2" w:rsidRPr="00612BBC" w:rsidRDefault="00DA46B2" w:rsidP="00DA46B2">
            <w:pPr>
              <w:overflowPunct/>
              <w:autoSpaceDE/>
              <w:autoSpaceDN/>
              <w:adjustRightInd/>
              <w:textAlignment w:val="auto"/>
              <w:rPr>
                <w:szCs w:val="24"/>
                <w:lang w:eastAsia="en-GB"/>
              </w:rPr>
            </w:pPr>
          </w:p>
        </w:tc>
        <w:tc>
          <w:tcPr>
            <w:tcW w:w="0" w:type="auto"/>
            <w:vAlign w:val="center"/>
          </w:tcPr>
          <w:p w14:paraId="6B5DC318" w14:textId="77777777" w:rsidR="00DA46B2" w:rsidRPr="00612BBC" w:rsidRDefault="00DA46B2" w:rsidP="00DA46B2">
            <w:pPr>
              <w:overflowPunct/>
              <w:autoSpaceDE/>
              <w:autoSpaceDN/>
              <w:adjustRightInd/>
              <w:textAlignment w:val="auto"/>
              <w:rPr>
                <w:szCs w:val="24"/>
                <w:lang w:eastAsia="en-GB"/>
              </w:rPr>
            </w:pPr>
          </w:p>
        </w:tc>
        <w:tc>
          <w:tcPr>
            <w:tcW w:w="0" w:type="auto"/>
            <w:vAlign w:val="center"/>
          </w:tcPr>
          <w:p w14:paraId="07125BC5" w14:textId="77777777" w:rsidR="00DA46B2" w:rsidRPr="00612BBC" w:rsidRDefault="00DA46B2" w:rsidP="00DA46B2">
            <w:pPr>
              <w:overflowPunct/>
              <w:autoSpaceDE/>
              <w:autoSpaceDN/>
              <w:adjustRightInd/>
              <w:textAlignment w:val="auto"/>
              <w:rPr>
                <w:szCs w:val="24"/>
                <w:lang w:eastAsia="en-GB"/>
              </w:rPr>
            </w:pPr>
          </w:p>
        </w:tc>
        <w:tc>
          <w:tcPr>
            <w:tcW w:w="0" w:type="auto"/>
            <w:vAlign w:val="center"/>
          </w:tcPr>
          <w:p w14:paraId="66574558" w14:textId="77777777" w:rsidR="00DA46B2" w:rsidRPr="00612BBC" w:rsidRDefault="00DA46B2" w:rsidP="00DA46B2">
            <w:pPr>
              <w:overflowPunct/>
              <w:autoSpaceDE/>
              <w:autoSpaceDN/>
              <w:adjustRightInd/>
              <w:textAlignment w:val="auto"/>
              <w:rPr>
                <w:szCs w:val="24"/>
                <w:lang w:eastAsia="en-GB"/>
              </w:rPr>
            </w:pPr>
          </w:p>
        </w:tc>
        <w:tc>
          <w:tcPr>
            <w:tcW w:w="0" w:type="auto"/>
            <w:vAlign w:val="center"/>
          </w:tcPr>
          <w:p w14:paraId="3D0C2453" w14:textId="77777777" w:rsidR="00DA46B2" w:rsidRPr="00612BBC" w:rsidRDefault="00DA46B2" w:rsidP="00DA46B2">
            <w:pPr>
              <w:overflowPunct/>
              <w:autoSpaceDE/>
              <w:autoSpaceDN/>
              <w:adjustRightInd/>
              <w:textAlignment w:val="auto"/>
              <w:rPr>
                <w:szCs w:val="24"/>
                <w:lang w:eastAsia="en-GB"/>
              </w:rPr>
            </w:pPr>
          </w:p>
        </w:tc>
      </w:tr>
      <w:tr w:rsidR="00283360" w:rsidRPr="00612BBC" w14:paraId="0C463040" w14:textId="77777777" w:rsidTr="00DA46B2">
        <w:trPr>
          <w:tblCellSpacing w:w="15" w:type="dxa"/>
        </w:trPr>
        <w:tc>
          <w:tcPr>
            <w:tcW w:w="3074" w:type="dxa"/>
            <w:vAlign w:val="center"/>
          </w:tcPr>
          <w:p w14:paraId="747FF483" w14:textId="15EB8B67" w:rsidR="00DA46B2" w:rsidRPr="00612BBC" w:rsidRDefault="00DA46B2" w:rsidP="00DA46B2">
            <w:pPr>
              <w:overflowPunct/>
              <w:autoSpaceDE/>
              <w:autoSpaceDN/>
              <w:adjustRightInd/>
              <w:textAlignment w:val="auto"/>
              <w:rPr>
                <w:szCs w:val="24"/>
                <w:lang w:eastAsia="en-GB"/>
              </w:rPr>
            </w:pPr>
            <w:r>
              <w:rPr>
                <w:szCs w:val="24"/>
                <w:lang w:eastAsia="en-GB"/>
              </w:rPr>
              <w:t>Ixekizumab</w:t>
            </w:r>
          </w:p>
        </w:tc>
        <w:tc>
          <w:tcPr>
            <w:tcW w:w="2705" w:type="dxa"/>
            <w:vAlign w:val="center"/>
          </w:tcPr>
          <w:p w14:paraId="6BD44364" w14:textId="77777777" w:rsidR="00DA46B2" w:rsidRPr="00612BBC" w:rsidRDefault="00DA46B2" w:rsidP="00DA46B2">
            <w:pPr>
              <w:overflowPunct/>
              <w:autoSpaceDE/>
              <w:autoSpaceDN/>
              <w:adjustRightInd/>
              <w:textAlignment w:val="auto"/>
              <w:rPr>
                <w:szCs w:val="24"/>
                <w:lang w:eastAsia="en-GB"/>
              </w:rPr>
            </w:pPr>
          </w:p>
        </w:tc>
        <w:tc>
          <w:tcPr>
            <w:tcW w:w="0" w:type="auto"/>
            <w:vAlign w:val="center"/>
          </w:tcPr>
          <w:p w14:paraId="492A52A2" w14:textId="77777777" w:rsidR="00DA46B2" w:rsidRPr="00612BBC" w:rsidRDefault="00DA46B2" w:rsidP="00DA46B2">
            <w:pPr>
              <w:overflowPunct/>
              <w:autoSpaceDE/>
              <w:autoSpaceDN/>
              <w:adjustRightInd/>
              <w:textAlignment w:val="auto"/>
              <w:rPr>
                <w:szCs w:val="24"/>
                <w:lang w:eastAsia="en-GB"/>
              </w:rPr>
            </w:pPr>
          </w:p>
        </w:tc>
        <w:tc>
          <w:tcPr>
            <w:tcW w:w="0" w:type="auto"/>
            <w:vAlign w:val="center"/>
          </w:tcPr>
          <w:p w14:paraId="77B0DBB4" w14:textId="77777777" w:rsidR="00DA46B2" w:rsidRPr="00612BBC" w:rsidRDefault="00DA46B2" w:rsidP="00DA46B2">
            <w:pPr>
              <w:overflowPunct/>
              <w:autoSpaceDE/>
              <w:autoSpaceDN/>
              <w:adjustRightInd/>
              <w:textAlignment w:val="auto"/>
              <w:rPr>
                <w:szCs w:val="24"/>
                <w:lang w:eastAsia="en-GB"/>
              </w:rPr>
            </w:pPr>
          </w:p>
        </w:tc>
        <w:tc>
          <w:tcPr>
            <w:tcW w:w="0" w:type="auto"/>
            <w:vAlign w:val="center"/>
          </w:tcPr>
          <w:p w14:paraId="56E973D6" w14:textId="77777777" w:rsidR="00DA46B2" w:rsidRPr="00612BBC" w:rsidRDefault="00DA46B2" w:rsidP="00DA46B2">
            <w:pPr>
              <w:overflowPunct/>
              <w:autoSpaceDE/>
              <w:autoSpaceDN/>
              <w:adjustRightInd/>
              <w:textAlignment w:val="auto"/>
              <w:rPr>
                <w:szCs w:val="24"/>
                <w:lang w:eastAsia="en-GB"/>
              </w:rPr>
            </w:pPr>
          </w:p>
        </w:tc>
        <w:tc>
          <w:tcPr>
            <w:tcW w:w="0" w:type="auto"/>
            <w:vAlign w:val="center"/>
          </w:tcPr>
          <w:p w14:paraId="550DC4DD" w14:textId="77777777" w:rsidR="00DA46B2" w:rsidRPr="00612BBC" w:rsidRDefault="00DA46B2" w:rsidP="00DA46B2">
            <w:pPr>
              <w:overflowPunct/>
              <w:autoSpaceDE/>
              <w:autoSpaceDN/>
              <w:adjustRightInd/>
              <w:textAlignment w:val="auto"/>
              <w:rPr>
                <w:szCs w:val="24"/>
                <w:lang w:eastAsia="en-GB"/>
              </w:rPr>
            </w:pPr>
          </w:p>
        </w:tc>
      </w:tr>
      <w:tr w:rsidR="00283360" w:rsidRPr="00612BBC" w14:paraId="303AA6BC" w14:textId="77777777" w:rsidTr="00DA46B2">
        <w:trPr>
          <w:tblCellSpacing w:w="15" w:type="dxa"/>
        </w:trPr>
        <w:tc>
          <w:tcPr>
            <w:tcW w:w="3074" w:type="dxa"/>
            <w:vAlign w:val="center"/>
          </w:tcPr>
          <w:p w14:paraId="7BB5B22E" w14:textId="01374C53" w:rsidR="00DA46B2" w:rsidRPr="00612BBC" w:rsidRDefault="00DA46B2" w:rsidP="00DA46B2">
            <w:pPr>
              <w:overflowPunct/>
              <w:autoSpaceDE/>
              <w:autoSpaceDN/>
              <w:adjustRightInd/>
              <w:textAlignment w:val="auto"/>
              <w:rPr>
                <w:szCs w:val="24"/>
                <w:lang w:eastAsia="en-GB"/>
              </w:rPr>
            </w:pPr>
            <w:r>
              <w:rPr>
                <w:szCs w:val="24"/>
                <w:lang w:eastAsia="en-GB"/>
              </w:rPr>
              <w:t>Sarilumab</w:t>
            </w:r>
          </w:p>
        </w:tc>
        <w:tc>
          <w:tcPr>
            <w:tcW w:w="2705" w:type="dxa"/>
            <w:vAlign w:val="center"/>
          </w:tcPr>
          <w:p w14:paraId="048191FD" w14:textId="711F53B3" w:rsidR="00DA46B2" w:rsidRPr="00612BBC" w:rsidRDefault="0008554C" w:rsidP="00DA46B2">
            <w:pPr>
              <w:overflowPunct/>
              <w:autoSpaceDE/>
              <w:autoSpaceDN/>
              <w:adjustRightInd/>
              <w:textAlignment w:val="auto"/>
              <w:rPr>
                <w:szCs w:val="24"/>
                <w:lang w:eastAsia="en-GB"/>
              </w:rPr>
            </w:pPr>
            <w:r>
              <w:rPr>
                <w:szCs w:val="24"/>
                <w:lang w:eastAsia="en-GB"/>
              </w:rPr>
              <w:t>No human data; animal studies show no effect on fertility</w:t>
            </w:r>
          </w:p>
        </w:tc>
        <w:tc>
          <w:tcPr>
            <w:tcW w:w="0" w:type="auto"/>
            <w:vAlign w:val="center"/>
          </w:tcPr>
          <w:p w14:paraId="3E1EBAA4" w14:textId="77777777" w:rsidR="0008554C" w:rsidRDefault="0008554C" w:rsidP="0008554C">
            <w:pPr>
              <w:overflowPunct/>
              <w:autoSpaceDE/>
              <w:autoSpaceDN/>
              <w:adjustRightInd/>
              <w:textAlignment w:val="auto"/>
              <w:rPr>
                <w:szCs w:val="24"/>
                <w:lang w:eastAsia="en-GB"/>
              </w:rPr>
            </w:pPr>
            <w:r>
              <w:rPr>
                <w:szCs w:val="24"/>
                <w:lang w:eastAsia="en-GB"/>
              </w:rPr>
              <w:t>No human data.</w:t>
            </w:r>
          </w:p>
          <w:p w14:paraId="3BEAFEBE" w14:textId="77777777" w:rsidR="0008554C" w:rsidRDefault="0008554C" w:rsidP="0008554C">
            <w:pPr>
              <w:overflowPunct/>
              <w:autoSpaceDE/>
              <w:autoSpaceDN/>
              <w:adjustRightInd/>
              <w:textAlignment w:val="auto"/>
              <w:rPr>
                <w:szCs w:val="24"/>
                <w:lang w:eastAsia="en-GB"/>
              </w:rPr>
            </w:pPr>
          </w:p>
          <w:p w14:paraId="413B9EB5" w14:textId="77777777" w:rsidR="0008554C" w:rsidRDefault="0008554C" w:rsidP="0008554C">
            <w:pPr>
              <w:overflowPunct/>
              <w:autoSpaceDE/>
              <w:autoSpaceDN/>
              <w:adjustRightInd/>
              <w:textAlignment w:val="auto"/>
              <w:rPr>
                <w:szCs w:val="24"/>
                <w:lang w:eastAsia="en-GB"/>
              </w:rPr>
            </w:pPr>
            <w:r>
              <w:rPr>
                <w:szCs w:val="24"/>
                <w:lang w:eastAsia="en-GB"/>
              </w:rPr>
              <w:t xml:space="preserve">No </w:t>
            </w:r>
            <w:r w:rsidRPr="00D56B63">
              <w:rPr>
                <w:szCs w:val="24"/>
                <w:lang w:eastAsia="en-GB"/>
              </w:rPr>
              <w:t>direct or indirect harmful effects</w:t>
            </w:r>
            <w:r>
              <w:rPr>
                <w:szCs w:val="24"/>
                <w:lang w:eastAsia="en-GB"/>
              </w:rPr>
              <w:t xml:space="preserve"> on </w:t>
            </w:r>
            <w:r w:rsidRPr="00D56B63">
              <w:rPr>
                <w:szCs w:val="24"/>
                <w:lang w:eastAsia="en-GB"/>
              </w:rPr>
              <w:t>pregnancy, embryonic/foetal development, parturition or postnatal development</w:t>
            </w:r>
            <w:r>
              <w:rPr>
                <w:szCs w:val="24"/>
                <w:lang w:eastAsia="en-GB"/>
              </w:rPr>
              <w:t>.</w:t>
            </w:r>
          </w:p>
          <w:p w14:paraId="27445DDF" w14:textId="77777777" w:rsidR="0008554C" w:rsidRDefault="0008554C" w:rsidP="0008554C">
            <w:pPr>
              <w:overflowPunct/>
              <w:autoSpaceDE/>
              <w:autoSpaceDN/>
              <w:adjustRightInd/>
              <w:textAlignment w:val="auto"/>
              <w:rPr>
                <w:szCs w:val="24"/>
                <w:lang w:eastAsia="en-GB"/>
              </w:rPr>
            </w:pPr>
          </w:p>
          <w:p w14:paraId="79CA5360" w14:textId="04D1FEDE" w:rsidR="00DA46B2" w:rsidRPr="00612BBC" w:rsidRDefault="0008554C" w:rsidP="0008554C">
            <w:pPr>
              <w:overflowPunct/>
              <w:autoSpaceDE/>
              <w:autoSpaceDN/>
              <w:adjustRightInd/>
              <w:textAlignment w:val="auto"/>
              <w:rPr>
                <w:szCs w:val="24"/>
                <w:lang w:eastAsia="en-GB"/>
              </w:rPr>
            </w:pPr>
            <w:r>
              <w:rPr>
                <w:szCs w:val="24"/>
                <w:lang w:eastAsia="en-GB"/>
              </w:rPr>
              <w:t>Advice avoid if possible</w:t>
            </w:r>
          </w:p>
        </w:tc>
        <w:tc>
          <w:tcPr>
            <w:tcW w:w="0" w:type="auto"/>
            <w:vAlign w:val="center"/>
          </w:tcPr>
          <w:p w14:paraId="4734B636" w14:textId="77777777" w:rsidR="00DA46B2" w:rsidRDefault="0008554C" w:rsidP="00DA46B2">
            <w:pPr>
              <w:overflowPunct/>
              <w:autoSpaceDE/>
              <w:autoSpaceDN/>
              <w:adjustRightInd/>
              <w:textAlignment w:val="auto"/>
              <w:rPr>
                <w:szCs w:val="24"/>
                <w:lang w:eastAsia="en-GB"/>
              </w:rPr>
            </w:pPr>
            <w:r>
              <w:rPr>
                <w:szCs w:val="24"/>
                <w:lang w:eastAsia="en-GB"/>
              </w:rPr>
              <w:t>No human data</w:t>
            </w:r>
          </w:p>
          <w:p w14:paraId="07C30416" w14:textId="77777777" w:rsidR="0008554C" w:rsidRDefault="0008554C" w:rsidP="00DA46B2">
            <w:pPr>
              <w:overflowPunct/>
              <w:autoSpaceDE/>
              <w:autoSpaceDN/>
              <w:adjustRightInd/>
              <w:textAlignment w:val="auto"/>
              <w:rPr>
                <w:szCs w:val="24"/>
                <w:lang w:eastAsia="en-GB"/>
              </w:rPr>
            </w:pPr>
          </w:p>
          <w:p w14:paraId="61ED7A1E" w14:textId="6912F8E9" w:rsidR="0008554C" w:rsidRPr="00612BBC" w:rsidRDefault="0008554C" w:rsidP="00DA46B2">
            <w:pPr>
              <w:overflowPunct/>
              <w:autoSpaceDE/>
              <w:autoSpaceDN/>
              <w:adjustRightInd/>
              <w:textAlignment w:val="auto"/>
              <w:rPr>
                <w:szCs w:val="24"/>
                <w:lang w:eastAsia="en-GB"/>
              </w:rPr>
            </w:pPr>
            <w:r>
              <w:rPr>
                <w:szCs w:val="24"/>
                <w:lang w:eastAsia="en-GB"/>
              </w:rPr>
              <w:t>Advice avoid if possible</w:t>
            </w:r>
          </w:p>
        </w:tc>
        <w:tc>
          <w:tcPr>
            <w:tcW w:w="0" w:type="auto"/>
            <w:vAlign w:val="center"/>
          </w:tcPr>
          <w:p w14:paraId="191E3590" w14:textId="77777777" w:rsidR="0008554C" w:rsidRDefault="0008554C" w:rsidP="0008554C">
            <w:pPr>
              <w:overflowPunct/>
              <w:autoSpaceDE/>
              <w:autoSpaceDN/>
              <w:adjustRightInd/>
              <w:textAlignment w:val="auto"/>
              <w:rPr>
                <w:szCs w:val="24"/>
                <w:lang w:eastAsia="en-GB"/>
              </w:rPr>
            </w:pPr>
            <w:r>
              <w:rPr>
                <w:szCs w:val="24"/>
                <w:lang w:eastAsia="en-GB"/>
              </w:rPr>
              <w:t>No human data</w:t>
            </w:r>
          </w:p>
          <w:p w14:paraId="36F98FFB" w14:textId="77777777" w:rsidR="0008554C" w:rsidRDefault="0008554C" w:rsidP="0008554C">
            <w:pPr>
              <w:overflowPunct/>
              <w:autoSpaceDE/>
              <w:autoSpaceDN/>
              <w:adjustRightInd/>
              <w:textAlignment w:val="auto"/>
              <w:rPr>
                <w:szCs w:val="24"/>
                <w:lang w:eastAsia="en-GB"/>
              </w:rPr>
            </w:pPr>
            <w:r>
              <w:rPr>
                <w:szCs w:val="24"/>
                <w:lang w:eastAsia="en-GB"/>
              </w:rPr>
              <w:t xml:space="preserve">Individual risk assessment advised </w:t>
            </w:r>
          </w:p>
          <w:p w14:paraId="6E72AEA2" w14:textId="722E829F" w:rsidR="00DA46B2" w:rsidRPr="00612BBC" w:rsidRDefault="0008554C" w:rsidP="0008554C">
            <w:pPr>
              <w:overflowPunct/>
              <w:autoSpaceDE/>
              <w:autoSpaceDN/>
              <w:adjustRightInd/>
              <w:textAlignment w:val="auto"/>
              <w:rPr>
                <w:szCs w:val="24"/>
                <w:lang w:eastAsia="en-GB"/>
              </w:rPr>
            </w:pPr>
            <w:r>
              <w:rPr>
                <w:szCs w:val="24"/>
                <w:lang w:eastAsia="en-GB"/>
              </w:rPr>
              <w:t>Sarilumab is a large protein and t</w:t>
            </w:r>
            <w:r w:rsidRPr="000A2F37">
              <w:rPr>
                <w:szCs w:val="24"/>
                <w:lang w:eastAsia="en-GB"/>
              </w:rPr>
              <w:t>he amount in milk is likely to be very low and absorption is unlikely because it is probably destroyed in the infant's gastrointestinal tract</w:t>
            </w:r>
          </w:p>
        </w:tc>
        <w:tc>
          <w:tcPr>
            <w:tcW w:w="0" w:type="auto"/>
            <w:vAlign w:val="center"/>
          </w:tcPr>
          <w:p w14:paraId="68F12A59" w14:textId="77777777" w:rsidR="00DA46B2" w:rsidRDefault="0008554C" w:rsidP="00DA46B2">
            <w:pPr>
              <w:overflowPunct/>
              <w:autoSpaceDE/>
              <w:autoSpaceDN/>
              <w:adjustRightInd/>
              <w:textAlignment w:val="auto"/>
              <w:rPr>
                <w:szCs w:val="24"/>
                <w:lang w:eastAsia="en-GB"/>
              </w:rPr>
            </w:pPr>
            <w:r>
              <w:rPr>
                <w:szCs w:val="24"/>
                <w:lang w:eastAsia="en-GB"/>
              </w:rPr>
              <w:t>No human data</w:t>
            </w:r>
          </w:p>
          <w:p w14:paraId="40A25F9B" w14:textId="69FF2113" w:rsidR="0008554C" w:rsidRPr="00612BBC" w:rsidRDefault="0008554C" w:rsidP="00DA46B2">
            <w:pPr>
              <w:overflowPunct/>
              <w:autoSpaceDE/>
              <w:autoSpaceDN/>
              <w:adjustRightInd/>
              <w:textAlignment w:val="auto"/>
              <w:rPr>
                <w:szCs w:val="24"/>
                <w:lang w:eastAsia="en-GB"/>
              </w:rPr>
            </w:pPr>
            <w:r>
              <w:rPr>
                <w:szCs w:val="24"/>
                <w:lang w:eastAsia="en-GB"/>
              </w:rPr>
              <w:t>No effect in animal studies</w:t>
            </w:r>
          </w:p>
        </w:tc>
      </w:tr>
      <w:tr w:rsidR="00283360" w:rsidRPr="00612BBC" w14:paraId="09258D46" w14:textId="77777777" w:rsidTr="00DA46B2">
        <w:trPr>
          <w:tblCellSpacing w:w="15" w:type="dxa"/>
        </w:trPr>
        <w:tc>
          <w:tcPr>
            <w:tcW w:w="3074" w:type="dxa"/>
            <w:vAlign w:val="center"/>
          </w:tcPr>
          <w:p w14:paraId="551B4393" w14:textId="1A792B95" w:rsidR="00DA46B2" w:rsidRPr="00612BBC" w:rsidRDefault="00DA46B2" w:rsidP="00DA46B2">
            <w:pPr>
              <w:overflowPunct/>
              <w:autoSpaceDE/>
              <w:autoSpaceDN/>
              <w:adjustRightInd/>
              <w:textAlignment w:val="auto"/>
              <w:rPr>
                <w:szCs w:val="24"/>
                <w:lang w:eastAsia="en-GB"/>
              </w:rPr>
            </w:pPr>
            <w:r>
              <w:rPr>
                <w:szCs w:val="24"/>
                <w:lang w:eastAsia="en-GB"/>
              </w:rPr>
              <w:t>Secukinumab</w:t>
            </w:r>
          </w:p>
        </w:tc>
        <w:tc>
          <w:tcPr>
            <w:tcW w:w="2705" w:type="dxa"/>
            <w:vAlign w:val="center"/>
          </w:tcPr>
          <w:p w14:paraId="11FC50F9" w14:textId="4A8AF09F" w:rsidR="00DA46B2" w:rsidRPr="00612BBC" w:rsidRDefault="00D56B63" w:rsidP="00DA46B2">
            <w:pPr>
              <w:overflowPunct/>
              <w:autoSpaceDE/>
              <w:autoSpaceDN/>
              <w:adjustRightInd/>
              <w:textAlignment w:val="auto"/>
              <w:rPr>
                <w:szCs w:val="24"/>
                <w:lang w:eastAsia="en-GB"/>
              </w:rPr>
            </w:pPr>
            <w:r>
              <w:rPr>
                <w:szCs w:val="24"/>
                <w:lang w:eastAsia="en-GB"/>
              </w:rPr>
              <w:t>No human data; animal studies show no effect on fertility</w:t>
            </w:r>
          </w:p>
        </w:tc>
        <w:tc>
          <w:tcPr>
            <w:tcW w:w="0" w:type="auto"/>
            <w:vAlign w:val="center"/>
          </w:tcPr>
          <w:p w14:paraId="0FDB5B47" w14:textId="77777777" w:rsidR="00DA46B2" w:rsidRDefault="00D56B63" w:rsidP="00DA46B2">
            <w:pPr>
              <w:overflowPunct/>
              <w:autoSpaceDE/>
              <w:autoSpaceDN/>
              <w:adjustRightInd/>
              <w:textAlignment w:val="auto"/>
              <w:rPr>
                <w:szCs w:val="24"/>
                <w:lang w:eastAsia="en-GB"/>
              </w:rPr>
            </w:pPr>
            <w:r>
              <w:rPr>
                <w:szCs w:val="24"/>
                <w:lang w:eastAsia="en-GB"/>
              </w:rPr>
              <w:t>No human data.</w:t>
            </w:r>
          </w:p>
          <w:p w14:paraId="025526E2" w14:textId="77777777" w:rsidR="00D56B63" w:rsidRDefault="00D56B63" w:rsidP="00DA46B2">
            <w:pPr>
              <w:overflowPunct/>
              <w:autoSpaceDE/>
              <w:autoSpaceDN/>
              <w:adjustRightInd/>
              <w:textAlignment w:val="auto"/>
              <w:rPr>
                <w:szCs w:val="24"/>
                <w:lang w:eastAsia="en-GB"/>
              </w:rPr>
            </w:pPr>
          </w:p>
          <w:p w14:paraId="6D8EA79C" w14:textId="77777777" w:rsidR="00D56B63" w:rsidRDefault="00D56B63" w:rsidP="00DA46B2">
            <w:pPr>
              <w:overflowPunct/>
              <w:autoSpaceDE/>
              <w:autoSpaceDN/>
              <w:adjustRightInd/>
              <w:textAlignment w:val="auto"/>
              <w:rPr>
                <w:szCs w:val="24"/>
                <w:lang w:eastAsia="en-GB"/>
              </w:rPr>
            </w:pPr>
            <w:r>
              <w:rPr>
                <w:szCs w:val="24"/>
                <w:lang w:eastAsia="en-GB"/>
              </w:rPr>
              <w:t xml:space="preserve">No </w:t>
            </w:r>
            <w:r w:rsidRPr="00D56B63">
              <w:rPr>
                <w:szCs w:val="24"/>
                <w:lang w:eastAsia="en-GB"/>
              </w:rPr>
              <w:t>direct or indirect harmful effects</w:t>
            </w:r>
            <w:r>
              <w:rPr>
                <w:szCs w:val="24"/>
                <w:lang w:eastAsia="en-GB"/>
              </w:rPr>
              <w:t xml:space="preserve"> on </w:t>
            </w:r>
            <w:r w:rsidRPr="00D56B63">
              <w:rPr>
                <w:szCs w:val="24"/>
                <w:lang w:eastAsia="en-GB"/>
              </w:rPr>
              <w:t>pregnancy, embryonic/foetal development, parturition or postnatal development</w:t>
            </w:r>
            <w:r>
              <w:rPr>
                <w:szCs w:val="24"/>
                <w:lang w:eastAsia="en-GB"/>
              </w:rPr>
              <w:t>.</w:t>
            </w:r>
          </w:p>
          <w:p w14:paraId="43633BC0" w14:textId="77777777" w:rsidR="00D56B63" w:rsidRDefault="00D56B63" w:rsidP="00DA46B2">
            <w:pPr>
              <w:overflowPunct/>
              <w:autoSpaceDE/>
              <w:autoSpaceDN/>
              <w:adjustRightInd/>
              <w:textAlignment w:val="auto"/>
              <w:rPr>
                <w:szCs w:val="24"/>
                <w:lang w:eastAsia="en-GB"/>
              </w:rPr>
            </w:pPr>
          </w:p>
          <w:p w14:paraId="17BB0985" w14:textId="2F14E0D1" w:rsidR="00D56B63" w:rsidRPr="00612BBC" w:rsidRDefault="00D56B63" w:rsidP="00DA46B2">
            <w:pPr>
              <w:overflowPunct/>
              <w:autoSpaceDE/>
              <w:autoSpaceDN/>
              <w:adjustRightInd/>
              <w:textAlignment w:val="auto"/>
              <w:rPr>
                <w:szCs w:val="24"/>
                <w:lang w:eastAsia="en-GB"/>
              </w:rPr>
            </w:pPr>
            <w:r>
              <w:rPr>
                <w:szCs w:val="24"/>
                <w:lang w:eastAsia="en-GB"/>
              </w:rPr>
              <w:t xml:space="preserve">Advice avoid if </w:t>
            </w:r>
            <w:r>
              <w:rPr>
                <w:szCs w:val="24"/>
                <w:lang w:eastAsia="en-GB"/>
              </w:rPr>
              <w:lastRenderedPageBreak/>
              <w:t>possible</w:t>
            </w:r>
          </w:p>
        </w:tc>
        <w:tc>
          <w:tcPr>
            <w:tcW w:w="0" w:type="auto"/>
            <w:vAlign w:val="center"/>
          </w:tcPr>
          <w:p w14:paraId="7D68FB78" w14:textId="34725D8C" w:rsidR="00DA46B2" w:rsidRPr="00612BBC" w:rsidRDefault="003653A3" w:rsidP="00D56B63">
            <w:pPr>
              <w:overflowPunct/>
              <w:autoSpaceDE/>
              <w:autoSpaceDN/>
              <w:adjustRightInd/>
              <w:textAlignment w:val="auto"/>
              <w:rPr>
                <w:szCs w:val="24"/>
                <w:lang w:eastAsia="en-GB"/>
              </w:rPr>
            </w:pPr>
            <w:r>
              <w:rPr>
                <w:szCs w:val="24"/>
                <w:lang w:eastAsia="en-GB"/>
              </w:rPr>
              <w:lastRenderedPageBreak/>
              <w:t>Theoretically</w:t>
            </w:r>
            <w:r w:rsidR="00D56B63">
              <w:rPr>
                <w:szCs w:val="24"/>
                <w:lang w:eastAsia="en-GB"/>
              </w:rPr>
              <w:t xml:space="preserve"> </w:t>
            </w:r>
            <w:r w:rsidR="00D56B63" w:rsidRPr="00D56B63">
              <w:rPr>
                <w:szCs w:val="24"/>
                <w:lang w:eastAsia="en-GB"/>
              </w:rPr>
              <w:t>transported across the placenta in later pregnancy</w:t>
            </w:r>
          </w:p>
        </w:tc>
        <w:tc>
          <w:tcPr>
            <w:tcW w:w="0" w:type="auto"/>
            <w:vAlign w:val="center"/>
          </w:tcPr>
          <w:p w14:paraId="4028B113" w14:textId="77777777" w:rsidR="00DA46B2" w:rsidRDefault="00D56B63" w:rsidP="00DA46B2">
            <w:pPr>
              <w:overflowPunct/>
              <w:autoSpaceDE/>
              <w:autoSpaceDN/>
              <w:adjustRightInd/>
              <w:textAlignment w:val="auto"/>
              <w:rPr>
                <w:szCs w:val="24"/>
                <w:lang w:eastAsia="en-GB"/>
              </w:rPr>
            </w:pPr>
            <w:r>
              <w:rPr>
                <w:szCs w:val="24"/>
                <w:lang w:eastAsia="en-GB"/>
              </w:rPr>
              <w:t>No human data</w:t>
            </w:r>
          </w:p>
          <w:p w14:paraId="1DCB968F" w14:textId="77777777" w:rsidR="000A2F37" w:rsidRDefault="00D56B63" w:rsidP="000A2F37">
            <w:pPr>
              <w:overflowPunct/>
              <w:autoSpaceDE/>
              <w:autoSpaceDN/>
              <w:adjustRightInd/>
              <w:textAlignment w:val="auto"/>
              <w:rPr>
                <w:szCs w:val="24"/>
                <w:lang w:eastAsia="en-GB"/>
              </w:rPr>
            </w:pPr>
            <w:r>
              <w:rPr>
                <w:szCs w:val="24"/>
                <w:lang w:eastAsia="en-GB"/>
              </w:rPr>
              <w:t xml:space="preserve">Individual risk assessment advised </w:t>
            </w:r>
          </w:p>
          <w:p w14:paraId="3F8427B9" w14:textId="42EB82CE" w:rsidR="00D56B63" w:rsidRPr="00612BBC" w:rsidRDefault="000A2F37" w:rsidP="000A2F37">
            <w:pPr>
              <w:overflowPunct/>
              <w:autoSpaceDE/>
              <w:autoSpaceDN/>
              <w:adjustRightInd/>
              <w:textAlignment w:val="auto"/>
              <w:rPr>
                <w:szCs w:val="24"/>
                <w:lang w:eastAsia="en-GB"/>
              </w:rPr>
            </w:pPr>
            <w:r>
              <w:rPr>
                <w:szCs w:val="24"/>
                <w:lang w:eastAsia="en-GB"/>
              </w:rPr>
              <w:t>Secukinumab is a large protein and t</w:t>
            </w:r>
            <w:r w:rsidRPr="000A2F37">
              <w:rPr>
                <w:szCs w:val="24"/>
                <w:lang w:eastAsia="en-GB"/>
              </w:rPr>
              <w:t>he amount in milk is likely to be very low and absorption is unlikely because it is probably destroyed in the infant's gastrointestinal tract</w:t>
            </w:r>
          </w:p>
        </w:tc>
        <w:tc>
          <w:tcPr>
            <w:tcW w:w="0" w:type="auto"/>
            <w:vAlign w:val="center"/>
          </w:tcPr>
          <w:p w14:paraId="4BF4CB3C" w14:textId="77C04CED" w:rsidR="00DA46B2" w:rsidRPr="00612BBC" w:rsidRDefault="000A2F37" w:rsidP="00DA46B2">
            <w:pPr>
              <w:overflowPunct/>
              <w:autoSpaceDE/>
              <w:autoSpaceDN/>
              <w:adjustRightInd/>
              <w:textAlignment w:val="auto"/>
              <w:rPr>
                <w:szCs w:val="24"/>
                <w:lang w:eastAsia="en-GB"/>
              </w:rPr>
            </w:pPr>
            <w:r>
              <w:rPr>
                <w:szCs w:val="24"/>
                <w:lang w:eastAsia="en-GB"/>
              </w:rPr>
              <w:t>No human data</w:t>
            </w:r>
          </w:p>
        </w:tc>
      </w:tr>
      <w:tr w:rsidR="00283360" w:rsidRPr="00612BBC" w14:paraId="1AC8EC8E" w14:textId="77777777" w:rsidTr="00DA46B2">
        <w:trPr>
          <w:tblCellSpacing w:w="15" w:type="dxa"/>
        </w:trPr>
        <w:tc>
          <w:tcPr>
            <w:tcW w:w="3074" w:type="dxa"/>
            <w:vAlign w:val="center"/>
          </w:tcPr>
          <w:p w14:paraId="1E4CCE96" w14:textId="721F9547" w:rsidR="00283360" w:rsidRPr="00612BBC" w:rsidRDefault="00283360" w:rsidP="00283360">
            <w:pPr>
              <w:overflowPunct/>
              <w:autoSpaceDE/>
              <w:autoSpaceDN/>
              <w:adjustRightInd/>
              <w:textAlignment w:val="auto"/>
              <w:rPr>
                <w:szCs w:val="24"/>
                <w:lang w:eastAsia="en-GB"/>
              </w:rPr>
            </w:pPr>
            <w:r>
              <w:rPr>
                <w:szCs w:val="24"/>
                <w:lang w:eastAsia="en-GB"/>
              </w:rPr>
              <w:lastRenderedPageBreak/>
              <w:t>Ustekinumab</w:t>
            </w:r>
          </w:p>
        </w:tc>
        <w:tc>
          <w:tcPr>
            <w:tcW w:w="2705" w:type="dxa"/>
            <w:vAlign w:val="center"/>
          </w:tcPr>
          <w:p w14:paraId="039E173A" w14:textId="2684C350" w:rsidR="00283360" w:rsidRPr="00612BBC" w:rsidRDefault="00283360" w:rsidP="00283360">
            <w:pPr>
              <w:overflowPunct/>
              <w:autoSpaceDE/>
              <w:autoSpaceDN/>
              <w:adjustRightInd/>
              <w:textAlignment w:val="auto"/>
              <w:rPr>
                <w:szCs w:val="24"/>
                <w:lang w:eastAsia="en-GB"/>
              </w:rPr>
            </w:pPr>
            <w:r w:rsidRPr="00283360">
              <w:rPr>
                <w:szCs w:val="24"/>
                <w:lang w:eastAsia="en-GB"/>
              </w:rPr>
              <w:t xml:space="preserve">Manufacturer recommends contraception during treatment and </w:t>
            </w:r>
            <w:r>
              <w:rPr>
                <w:szCs w:val="24"/>
                <w:lang w:eastAsia="en-GB"/>
              </w:rPr>
              <w:t>≥</w:t>
            </w:r>
            <w:r w:rsidRPr="00283360">
              <w:rPr>
                <w:szCs w:val="24"/>
                <w:lang w:eastAsia="en-GB"/>
              </w:rPr>
              <w:t>15 weeks after treatment.</w:t>
            </w:r>
          </w:p>
        </w:tc>
        <w:tc>
          <w:tcPr>
            <w:tcW w:w="0" w:type="auto"/>
            <w:vAlign w:val="center"/>
          </w:tcPr>
          <w:p w14:paraId="131CAB89" w14:textId="77777777" w:rsidR="00283360" w:rsidRDefault="00283360" w:rsidP="00283360">
            <w:pPr>
              <w:overflowPunct/>
              <w:autoSpaceDE/>
              <w:autoSpaceDN/>
              <w:adjustRightInd/>
              <w:textAlignment w:val="auto"/>
              <w:rPr>
                <w:szCs w:val="24"/>
                <w:lang w:eastAsia="en-GB"/>
              </w:rPr>
            </w:pPr>
            <w:r>
              <w:rPr>
                <w:szCs w:val="24"/>
                <w:lang w:eastAsia="en-GB"/>
              </w:rPr>
              <w:t>No human data</w:t>
            </w:r>
          </w:p>
          <w:p w14:paraId="0139ED23" w14:textId="77777777" w:rsidR="00283360" w:rsidRDefault="00283360" w:rsidP="00283360">
            <w:pPr>
              <w:overflowPunct/>
              <w:autoSpaceDE/>
              <w:autoSpaceDN/>
              <w:adjustRightInd/>
              <w:textAlignment w:val="auto"/>
              <w:rPr>
                <w:szCs w:val="24"/>
                <w:lang w:eastAsia="en-GB"/>
              </w:rPr>
            </w:pPr>
          </w:p>
          <w:p w14:paraId="31E66387" w14:textId="77777777" w:rsidR="00283360" w:rsidRDefault="00283360" w:rsidP="00283360">
            <w:pPr>
              <w:overflowPunct/>
              <w:autoSpaceDE/>
              <w:autoSpaceDN/>
              <w:adjustRightInd/>
              <w:textAlignment w:val="auto"/>
              <w:rPr>
                <w:szCs w:val="24"/>
                <w:lang w:eastAsia="en-GB"/>
              </w:rPr>
            </w:pPr>
            <w:r>
              <w:rPr>
                <w:szCs w:val="24"/>
                <w:lang w:eastAsia="en-GB"/>
              </w:rPr>
              <w:t>Manufacturer advice avoid during pregnancy.</w:t>
            </w:r>
          </w:p>
          <w:p w14:paraId="558C9A42" w14:textId="77777777" w:rsidR="00283360" w:rsidRDefault="00283360" w:rsidP="00283360">
            <w:pPr>
              <w:overflowPunct/>
              <w:autoSpaceDE/>
              <w:autoSpaceDN/>
              <w:adjustRightInd/>
              <w:textAlignment w:val="auto"/>
              <w:rPr>
                <w:szCs w:val="24"/>
                <w:lang w:eastAsia="en-GB"/>
              </w:rPr>
            </w:pPr>
          </w:p>
          <w:p w14:paraId="62EDD187" w14:textId="680F3A37" w:rsidR="00283360" w:rsidRPr="00612BBC" w:rsidRDefault="00283360" w:rsidP="00283360">
            <w:pPr>
              <w:overflowPunct/>
              <w:autoSpaceDE/>
              <w:autoSpaceDN/>
              <w:adjustRightInd/>
              <w:textAlignment w:val="auto"/>
              <w:rPr>
                <w:szCs w:val="24"/>
                <w:lang w:eastAsia="en-GB"/>
              </w:rPr>
            </w:pPr>
            <w:r w:rsidRPr="00283360">
              <w:rPr>
                <w:szCs w:val="24"/>
                <w:lang w:eastAsia="en-GB"/>
              </w:rPr>
              <w:t>Transplacental transfer not expected in the first trimester</w:t>
            </w:r>
            <w:r>
              <w:rPr>
                <w:szCs w:val="24"/>
                <w:lang w:eastAsia="en-GB"/>
              </w:rPr>
              <w:t xml:space="preserve"> but possible theoretical </w:t>
            </w:r>
            <w:r w:rsidRPr="00283360">
              <w:rPr>
                <w:szCs w:val="24"/>
                <w:lang w:eastAsia="en-GB"/>
              </w:rPr>
              <w:t>altered placental or maternal physiology</w:t>
            </w:r>
          </w:p>
        </w:tc>
        <w:tc>
          <w:tcPr>
            <w:tcW w:w="0" w:type="auto"/>
            <w:vAlign w:val="center"/>
          </w:tcPr>
          <w:p w14:paraId="0624454B" w14:textId="77777777" w:rsidR="00283360" w:rsidRDefault="00283360" w:rsidP="00283360">
            <w:pPr>
              <w:overflowPunct/>
              <w:autoSpaceDE/>
              <w:autoSpaceDN/>
              <w:adjustRightInd/>
              <w:textAlignment w:val="auto"/>
              <w:rPr>
                <w:szCs w:val="24"/>
                <w:lang w:eastAsia="en-GB"/>
              </w:rPr>
            </w:pPr>
            <w:r>
              <w:rPr>
                <w:szCs w:val="24"/>
                <w:lang w:eastAsia="en-GB"/>
              </w:rPr>
              <w:t>No human data</w:t>
            </w:r>
          </w:p>
          <w:p w14:paraId="3882FE6D" w14:textId="77777777" w:rsidR="00283360" w:rsidRDefault="00283360" w:rsidP="00283360">
            <w:pPr>
              <w:overflowPunct/>
              <w:autoSpaceDE/>
              <w:autoSpaceDN/>
              <w:adjustRightInd/>
              <w:textAlignment w:val="auto"/>
              <w:rPr>
                <w:szCs w:val="24"/>
                <w:lang w:eastAsia="en-GB"/>
              </w:rPr>
            </w:pPr>
          </w:p>
          <w:p w14:paraId="14676D92" w14:textId="77777777" w:rsidR="00283360" w:rsidRDefault="00283360" w:rsidP="00283360">
            <w:pPr>
              <w:overflowPunct/>
              <w:autoSpaceDE/>
              <w:autoSpaceDN/>
              <w:adjustRightInd/>
              <w:textAlignment w:val="auto"/>
              <w:rPr>
                <w:szCs w:val="24"/>
                <w:lang w:eastAsia="en-GB"/>
              </w:rPr>
            </w:pPr>
            <w:r>
              <w:rPr>
                <w:szCs w:val="24"/>
                <w:lang w:eastAsia="en-GB"/>
              </w:rPr>
              <w:t>Manufacturer advice avoid during pregnancy.</w:t>
            </w:r>
          </w:p>
          <w:p w14:paraId="5EE348F0" w14:textId="77777777" w:rsidR="00283360" w:rsidRDefault="00283360" w:rsidP="00283360">
            <w:pPr>
              <w:overflowPunct/>
              <w:autoSpaceDE/>
              <w:autoSpaceDN/>
              <w:adjustRightInd/>
              <w:textAlignment w:val="auto"/>
              <w:rPr>
                <w:szCs w:val="24"/>
                <w:lang w:eastAsia="en-GB"/>
              </w:rPr>
            </w:pPr>
          </w:p>
          <w:p w14:paraId="588C107E" w14:textId="5072034B" w:rsidR="00283360" w:rsidRPr="00612BBC" w:rsidRDefault="00283360" w:rsidP="00283360">
            <w:pPr>
              <w:overflowPunct/>
              <w:autoSpaceDE/>
              <w:autoSpaceDN/>
              <w:adjustRightInd/>
              <w:textAlignment w:val="auto"/>
              <w:rPr>
                <w:szCs w:val="24"/>
                <w:lang w:eastAsia="en-GB"/>
              </w:rPr>
            </w:pPr>
            <w:r w:rsidRPr="00283360">
              <w:rPr>
                <w:szCs w:val="24"/>
                <w:lang w:eastAsia="en-GB"/>
              </w:rPr>
              <w:t>Transplacental transfer not expected in the first trimester</w:t>
            </w:r>
            <w:r>
              <w:rPr>
                <w:szCs w:val="24"/>
                <w:lang w:eastAsia="en-GB"/>
              </w:rPr>
              <w:t xml:space="preserve"> but possible theoretical </w:t>
            </w:r>
            <w:r w:rsidRPr="00283360">
              <w:rPr>
                <w:szCs w:val="24"/>
                <w:lang w:eastAsia="en-GB"/>
              </w:rPr>
              <w:t>altered placental or maternal physiology</w:t>
            </w:r>
          </w:p>
        </w:tc>
        <w:tc>
          <w:tcPr>
            <w:tcW w:w="0" w:type="auto"/>
            <w:vAlign w:val="center"/>
          </w:tcPr>
          <w:p w14:paraId="08B252FA" w14:textId="77777777" w:rsidR="00283360" w:rsidRDefault="00283360" w:rsidP="00283360">
            <w:pPr>
              <w:overflowPunct/>
              <w:autoSpaceDE/>
              <w:autoSpaceDN/>
              <w:adjustRightInd/>
              <w:textAlignment w:val="auto"/>
              <w:rPr>
                <w:szCs w:val="24"/>
                <w:lang w:eastAsia="en-GB"/>
              </w:rPr>
            </w:pPr>
            <w:r>
              <w:rPr>
                <w:szCs w:val="24"/>
                <w:lang w:eastAsia="en-GB"/>
              </w:rPr>
              <w:t>Limited data</w:t>
            </w:r>
          </w:p>
          <w:p w14:paraId="21C0708F" w14:textId="77777777" w:rsidR="00283360" w:rsidRDefault="00283360" w:rsidP="00283360">
            <w:pPr>
              <w:overflowPunct/>
              <w:autoSpaceDE/>
              <w:autoSpaceDN/>
              <w:adjustRightInd/>
              <w:textAlignment w:val="auto"/>
              <w:rPr>
                <w:szCs w:val="24"/>
                <w:lang w:eastAsia="en-GB"/>
              </w:rPr>
            </w:pPr>
            <w:r>
              <w:rPr>
                <w:szCs w:val="24"/>
                <w:lang w:eastAsia="en-GB"/>
              </w:rPr>
              <w:t>Use with caution</w:t>
            </w:r>
          </w:p>
          <w:p w14:paraId="23520E7E" w14:textId="7CE4A80B" w:rsidR="00283360" w:rsidRDefault="00283360" w:rsidP="00283360">
            <w:pPr>
              <w:overflowPunct/>
              <w:autoSpaceDE/>
              <w:autoSpaceDN/>
              <w:adjustRightInd/>
              <w:textAlignment w:val="auto"/>
              <w:rPr>
                <w:szCs w:val="24"/>
                <w:lang w:eastAsia="en-GB"/>
              </w:rPr>
            </w:pPr>
            <w:r>
              <w:rPr>
                <w:szCs w:val="24"/>
                <w:lang w:eastAsia="en-GB"/>
              </w:rPr>
              <w:t>N</w:t>
            </w:r>
            <w:r w:rsidRPr="00283360">
              <w:rPr>
                <w:szCs w:val="24"/>
                <w:lang w:eastAsia="en-GB"/>
              </w:rPr>
              <w:t>o reports found regarding neonatal toxicity following exposure to ustekinumab. Data suggests that the drug will be excreted in breast milk with unknown effect, this is likely to be in low levels.</w:t>
            </w:r>
          </w:p>
          <w:p w14:paraId="336F8B8B" w14:textId="77777777" w:rsidR="00283360" w:rsidRDefault="00283360" w:rsidP="00283360">
            <w:pPr>
              <w:overflowPunct/>
              <w:autoSpaceDE/>
              <w:autoSpaceDN/>
              <w:adjustRightInd/>
              <w:textAlignment w:val="auto"/>
              <w:rPr>
                <w:szCs w:val="24"/>
                <w:lang w:eastAsia="en-GB"/>
              </w:rPr>
            </w:pPr>
          </w:p>
          <w:p w14:paraId="1061938F" w14:textId="4265B6C3" w:rsidR="00283360" w:rsidRPr="00612BBC" w:rsidRDefault="00283360" w:rsidP="00283360">
            <w:pPr>
              <w:overflowPunct/>
              <w:autoSpaceDE/>
              <w:autoSpaceDN/>
              <w:adjustRightInd/>
              <w:textAlignment w:val="auto"/>
              <w:rPr>
                <w:szCs w:val="24"/>
                <w:lang w:eastAsia="en-GB"/>
              </w:rPr>
            </w:pPr>
            <w:r w:rsidRPr="00283360">
              <w:rPr>
                <w:szCs w:val="24"/>
                <w:lang w:eastAsia="en-GB"/>
              </w:rPr>
              <w:t>Manufacturer recommends a decision to discontinue breast feeding during treatment and up to 15 weeks after treatment or to discontinue therapy with ustekinumab must be made taking into account the benefit of breast feeding to the child and the benefit of ustekinumab therapy to the woman.</w:t>
            </w:r>
          </w:p>
        </w:tc>
        <w:tc>
          <w:tcPr>
            <w:tcW w:w="0" w:type="auto"/>
            <w:vAlign w:val="center"/>
          </w:tcPr>
          <w:p w14:paraId="0A668A01" w14:textId="4D656D50" w:rsidR="00283360" w:rsidRPr="00612BBC" w:rsidRDefault="00283360" w:rsidP="00283360">
            <w:pPr>
              <w:overflowPunct/>
              <w:autoSpaceDE/>
              <w:autoSpaceDN/>
              <w:adjustRightInd/>
              <w:textAlignment w:val="auto"/>
              <w:rPr>
                <w:szCs w:val="24"/>
                <w:lang w:eastAsia="en-GB"/>
              </w:rPr>
            </w:pPr>
            <w:r>
              <w:rPr>
                <w:szCs w:val="24"/>
                <w:lang w:eastAsia="en-GB"/>
              </w:rPr>
              <w:t>No human data</w:t>
            </w:r>
          </w:p>
        </w:tc>
      </w:tr>
      <w:tr w:rsidR="00283360" w:rsidRPr="00612BBC" w14:paraId="1C2662BB" w14:textId="77777777" w:rsidTr="00DA46B2">
        <w:trPr>
          <w:tblCellSpacing w:w="15" w:type="dxa"/>
        </w:trPr>
        <w:tc>
          <w:tcPr>
            <w:tcW w:w="3074" w:type="dxa"/>
            <w:vAlign w:val="center"/>
          </w:tcPr>
          <w:p w14:paraId="2927D329" w14:textId="77777777" w:rsidR="00283360" w:rsidRPr="00612BBC" w:rsidRDefault="00283360" w:rsidP="00283360">
            <w:pPr>
              <w:overflowPunct/>
              <w:autoSpaceDE/>
              <w:autoSpaceDN/>
              <w:adjustRightInd/>
              <w:textAlignment w:val="auto"/>
              <w:rPr>
                <w:szCs w:val="24"/>
                <w:lang w:eastAsia="en-GB"/>
              </w:rPr>
            </w:pPr>
          </w:p>
        </w:tc>
        <w:tc>
          <w:tcPr>
            <w:tcW w:w="2705" w:type="dxa"/>
            <w:vAlign w:val="center"/>
          </w:tcPr>
          <w:p w14:paraId="77DCA1FC" w14:textId="77777777" w:rsidR="00283360" w:rsidRPr="00612BBC" w:rsidRDefault="00283360" w:rsidP="00283360">
            <w:pPr>
              <w:overflowPunct/>
              <w:autoSpaceDE/>
              <w:autoSpaceDN/>
              <w:adjustRightInd/>
              <w:textAlignment w:val="auto"/>
              <w:rPr>
                <w:szCs w:val="24"/>
                <w:lang w:eastAsia="en-GB"/>
              </w:rPr>
            </w:pPr>
          </w:p>
        </w:tc>
        <w:tc>
          <w:tcPr>
            <w:tcW w:w="0" w:type="auto"/>
            <w:vAlign w:val="center"/>
          </w:tcPr>
          <w:p w14:paraId="663F356F" w14:textId="77777777" w:rsidR="00283360" w:rsidRPr="00612BBC" w:rsidRDefault="00283360" w:rsidP="00283360">
            <w:pPr>
              <w:overflowPunct/>
              <w:autoSpaceDE/>
              <w:autoSpaceDN/>
              <w:adjustRightInd/>
              <w:textAlignment w:val="auto"/>
              <w:rPr>
                <w:szCs w:val="24"/>
                <w:lang w:eastAsia="en-GB"/>
              </w:rPr>
            </w:pPr>
          </w:p>
        </w:tc>
        <w:tc>
          <w:tcPr>
            <w:tcW w:w="0" w:type="auto"/>
            <w:vAlign w:val="center"/>
          </w:tcPr>
          <w:p w14:paraId="21F1CAF4" w14:textId="77777777" w:rsidR="00283360" w:rsidRPr="00612BBC" w:rsidRDefault="00283360" w:rsidP="00283360">
            <w:pPr>
              <w:overflowPunct/>
              <w:autoSpaceDE/>
              <w:autoSpaceDN/>
              <w:adjustRightInd/>
              <w:textAlignment w:val="auto"/>
              <w:rPr>
                <w:szCs w:val="24"/>
                <w:lang w:eastAsia="en-GB"/>
              </w:rPr>
            </w:pPr>
          </w:p>
        </w:tc>
        <w:tc>
          <w:tcPr>
            <w:tcW w:w="0" w:type="auto"/>
            <w:vAlign w:val="center"/>
          </w:tcPr>
          <w:p w14:paraId="5403AE22" w14:textId="77777777" w:rsidR="00283360" w:rsidRPr="00612BBC" w:rsidRDefault="00283360" w:rsidP="00283360">
            <w:pPr>
              <w:overflowPunct/>
              <w:autoSpaceDE/>
              <w:autoSpaceDN/>
              <w:adjustRightInd/>
              <w:textAlignment w:val="auto"/>
              <w:rPr>
                <w:szCs w:val="24"/>
                <w:lang w:eastAsia="en-GB"/>
              </w:rPr>
            </w:pPr>
          </w:p>
        </w:tc>
        <w:tc>
          <w:tcPr>
            <w:tcW w:w="0" w:type="auto"/>
            <w:vAlign w:val="center"/>
          </w:tcPr>
          <w:p w14:paraId="2C3C30BC" w14:textId="77777777" w:rsidR="00283360" w:rsidRPr="00612BBC" w:rsidRDefault="00283360" w:rsidP="00283360">
            <w:pPr>
              <w:overflowPunct/>
              <w:autoSpaceDE/>
              <w:autoSpaceDN/>
              <w:adjustRightInd/>
              <w:textAlignment w:val="auto"/>
              <w:rPr>
                <w:szCs w:val="24"/>
                <w:lang w:eastAsia="en-GB"/>
              </w:rPr>
            </w:pPr>
          </w:p>
        </w:tc>
      </w:tr>
      <w:tr w:rsidR="00283360" w:rsidRPr="00612BBC" w14:paraId="43339810" w14:textId="77777777" w:rsidTr="00DA46B2">
        <w:trPr>
          <w:tblCellSpacing w:w="15" w:type="dxa"/>
        </w:trPr>
        <w:tc>
          <w:tcPr>
            <w:tcW w:w="3074" w:type="dxa"/>
            <w:vAlign w:val="center"/>
          </w:tcPr>
          <w:p w14:paraId="07A66FE3" w14:textId="77777777" w:rsidR="00283360" w:rsidRPr="00612BBC" w:rsidRDefault="00283360" w:rsidP="00283360">
            <w:pPr>
              <w:overflowPunct/>
              <w:autoSpaceDE/>
              <w:autoSpaceDN/>
              <w:adjustRightInd/>
              <w:textAlignment w:val="auto"/>
              <w:rPr>
                <w:szCs w:val="24"/>
                <w:lang w:eastAsia="en-GB"/>
              </w:rPr>
            </w:pPr>
          </w:p>
        </w:tc>
        <w:tc>
          <w:tcPr>
            <w:tcW w:w="2705" w:type="dxa"/>
            <w:vAlign w:val="center"/>
          </w:tcPr>
          <w:p w14:paraId="171F03AD" w14:textId="77777777" w:rsidR="00283360" w:rsidRPr="00612BBC" w:rsidRDefault="00283360" w:rsidP="00283360">
            <w:pPr>
              <w:overflowPunct/>
              <w:autoSpaceDE/>
              <w:autoSpaceDN/>
              <w:adjustRightInd/>
              <w:textAlignment w:val="auto"/>
              <w:rPr>
                <w:szCs w:val="24"/>
                <w:lang w:eastAsia="en-GB"/>
              </w:rPr>
            </w:pPr>
          </w:p>
        </w:tc>
        <w:tc>
          <w:tcPr>
            <w:tcW w:w="0" w:type="auto"/>
            <w:vAlign w:val="center"/>
          </w:tcPr>
          <w:p w14:paraId="1BDCBDC5" w14:textId="77777777" w:rsidR="00283360" w:rsidRPr="00612BBC" w:rsidRDefault="00283360" w:rsidP="00283360">
            <w:pPr>
              <w:overflowPunct/>
              <w:autoSpaceDE/>
              <w:autoSpaceDN/>
              <w:adjustRightInd/>
              <w:textAlignment w:val="auto"/>
              <w:rPr>
                <w:szCs w:val="24"/>
                <w:lang w:eastAsia="en-GB"/>
              </w:rPr>
            </w:pPr>
          </w:p>
        </w:tc>
        <w:tc>
          <w:tcPr>
            <w:tcW w:w="0" w:type="auto"/>
            <w:vAlign w:val="center"/>
          </w:tcPr>
          <w:p w14:paraId="7E68F1B3" w14:textId="77777777" w:rsidR="00283360" w:rsidRPr="00612BBC" w:rsidRDefault="00283360" w:rsidP="00283360">
            <w:pPr>
              <w:overflowPunct/>
              <w:autoSpaceDE/>
              <w:autoSpaceDN/>
              <w:adjustRightInd/>
              <w:textAlignment w:val="auto"/>
              <w:rPr>
                <w:szCs w:val="24"/>
                <w:lang w:eastAsia="en-GB"/>
              </w:rPr>
            </w:pPr>
          </w:p>
        </w:tc>
        <w:tc>
          <w:tcPr>
            <w:tcW w:w="0" w:type="auto"/>
            <w:vAlign w:val="center"/>
          </w:tcPr>
          <w:p w14:paraId="1B0D56A4" w14:textId="77777777" w:rsidR="00283360" w:rsidRPr="00612BBC" w:rsidRDefault="00283360" w:rsidP="00283360">
            <w:pPr>
              <w:overflowPunct/>
              <w:autoSpaceDE/>
              <w:autoSpaceDN/>
              <w:adjustRightInd/>
              <w:textAlignment w:val="auto"/>
              <w:rPr>
                <w:szCs w:val="24"/>
                <w:lang w:eastAsia="en-GB"/>
              </w:rPr>
            </w:pPr>
          </w:p>
        </w:tc>
        <w:tc>
          <w:tcPr>
            <w:tcW w:w="0" w:type="auto"/>
            <w:vAlign w:val="center"/>
          </w:tcPr>
          <w:p w14:paraId="69C199BB" w14:textId="77777777" w:rsidR="00283360" w:rsidRPr="00612BBC" w:rsidRDefault="00283360" w:rsidP="00283360">
            <w:pPr>
              <w:overflowPunct/>
              <w:autoSpaceDE/>
              <w:autoSpaceDN/>
              <w:adjustRightInd/>
              <w:textAlignment w:val="auto"/>
              <w:rPr>
                <w:szCs w:val="24"/>
                <w:lang w:eastAsia="en-GB"/>
              </w:rPr>
            </w:pPr>
          </w:p>
        </w:tc>
      </w:tr>
      <w:tr w:rsidR="00283360" w:rsidRPr="00612BBC" w14:paraId="629E9C64" w14:textId="77777777" w:rsidTr="00DA46B2">
        <w:trPr>
          <w:tblCellSpacing w:w="15" w:type="dxa"/>
        </w:trPr>
        <w:tc>
          <w:tcPr>
            <w:tcW w:w="3074" w:type="dxa"/>
            <w:vAlign w:val="center"/>
          </w:tcPr>
          <w:p w14:paraId="2D5D84B1" w14:textId="77777777" w:rsidR="00283360" w:rsidRPr="00612BBC" w:rsidRDefault="00283360" w:rsidP="00283360">
            <w:pPr>
              <w:overflowPunct/>
              <w:autoSpaceDE/>
              <w:autoSpaceDN/>
              <w:adjustRightInd/>
              <w:textAlignment w:val="auto"/>
              <w:rPr>
                <w:szCs w:val="24"/>
                <w:lang w:eastAsia="en-GB"/>
              </w:rPr>
            </w:pPr>
          </w:p>
        </w:tc>
        <w:tc>
          <w:tcPr>
            <w:tcW w:w="2705" w:type="dxa"/>
            <w:vAlign w:val="center"/>
          </w:tcPr>
          <w:p w14:paraId="77B83CD6" w14:textId="77777777" w:rsidR="00283360" w:rsidRPr="00612BBC" w:rsidRDefault="00283360" w:rsidP="00283360">
            <w:pPr>
              <w:overflowPunct/>
              <w:autoSpaceDE/>
              <w:autoSpaceDN/>
              <w:adjustRightInd/>
              <w:textAlignment w:val="auto"/>
              <w:rPr>
                <w:szCs w:val="24"/>
                <w:lang w:eastAsia="en-GB"/>
              </w:rPr>
            </w:pPr>
          </w:p>
        </w:tc>
        <w:tc>
          <w:tcPr>
            <w:tcW w:w="0" w:type="auto"/>
            <w:vAlign w:val="center"/>
          </w:tcPr>
          <w:p w14:paraId="7202C2F8" w14:textId="77777777" w:rsidR="00283360" w:rsidRPr="00612BBC" w:rsidRDefault="00283360" w:rsidP="00283360">
            <w:pPr>
              <w:overflowPunct/>
              <w:autoSpaceDE/>
              <w:autoSpaceDN/>
              <w:adjustRightInd/>
              <w:textAlignment w:val="auto"/>
              <w:rPr>
                <w:szCs w:val="24"/>
                <w:lang w:eastAsia="en-GB"/>
              </w:rPr>
            </w:pPr>
          </w:p>
        </w:tc>
        <w:tc>
          <w:tcPr>
            <w:tcW w:w="0" w:type="auto"/>
            <w:vAlign w:val="center"/>
          </w:tcPr>
          <w:p w14:paraId="6EFE8D37" w14:textId="77777777" w:rsidR="00283360" w:rsidRPr="00612BBC" w:rsidRDefault="00283360" w:rsidP="00283360">
            <w:pPr>
              <w:overflowPunct/>
              <w:autoSpaceDE/>
              <w:autoSpaceDN/>
              <w:adjustRightInd/>
              <w:textAlignment w:val="auto"/>
              <w:rPr>
                <w:szCs w:val="24"/>
                <w:lang w:eastAsia="en-GB"/>
              </w:rPr>
            </w:pPr>
          </w:p>
        </w:tc>
        <w:tc>
          <w:tcPr>
            <w:tcW w:w="0" w:type="auto"/>
            <w:vAlign w:val="center"/>
          </w:tcPr>
          <w:p w14:paraId="367C7130" w14:textId="77777777" w:rsidR="00283360" w:rsidRPr="00612BBC" w:rsidRDefault="00283360" w:rsidP="00283360">
            <w:pPr>
              <w:overflowPunct/>
              <w:autoSpaceDE/>
              <w:autoSpaceDN/>
              <w:adjustRightInd/>
              <w:textAlignment w:val="auto"/>
              <w:rPr>
                <w:szCs w:val="24"/>
                <w:lang w:eastAsia="en-GB"/>
              </w:rPr>
            </w:pPr>
          </w:p>
        </w:tc>
        <w:tc>
          <w:tcPr>
            <w:tcW w:w="0" w:type="auto"/>
            <w:vAlign w:val="center"/>
          </w:tcPr>
          <w:p w14:paraId="5F0F222A" w14:textId="77777777" w:rsidR="00283360" w:rsidRPr="00612BBC" w:rsidRDefault="00283360" w:rsidP="00283360">
            <w:pPr>
              <w:overflowPunct/>
              <w:autoSpaceDE/>
              <w:autoSpaceDN/>
              <w:adjustRightInd/>
              <w:textAlignment w:val="auto"/>
              <w:rPr>
                <w:szCs w:val="24"/>
                <w:lang w:eastAsia="en-GB"/>
              </w:rPr>
            </w:pPr>
          </w:p>
        </w:tc>
      </w:tr>
    </w:tbl>
    <w:p w14:paraId="166D47C0" w14:textId="77777777" w:rsidR="00612BBC" w:rsidRPr="00612BBC" w:rsidRDefault="00612BBC" w:rsidP="00612BBC">
      <w:pPr>
        <w:overflowPunct/>
        <w:autoSpaceDE/>
        <w:autoSpaceDN/>
        <w:adjustRightInd/>
        <w:spacing w:before="100" w:beforeAutospacing="1" w:after="100" w:afterAutospacing="1"/>
        <w:textAlignment w:val="auto"/>
        <w:rPr>
          <w:szCs w:val="24"/>
          <w:lang w:eastAsia="en-GB"/>
        </w:rPr>
      </w:pPr>
      <w:r w:rsidRPr="00612BBC">
        <w:rPr>
          <w:szCs w:val="24"/>
          <w:lang w:eastAsia="en-GB"/>
        </w:rPr>
        <w:t>For further information and caveats, see relevant recommendations and main text in executive summary and full guideline.</w:t>
      </w:r>
    </w:p>
    <w:p w14:paraId="796642E0" w14:textId="77777777" w:rsidR="00612BBC" w:rsidRPr="00612BBC" w:rsidRDefault="00612BBC" w:rsidP="00612BBC">
      <w:pPr>
        <w:overflowPunct/>
        <w:autoSpaceDE/>
        <w:autoSpaceDN/>
        <w:adjustRightInd/>
        <w:spacing w:before="100" w:beforeAutospacing="1" w:after="100" w:afterAutospacing="1"/>
        <w:textAlignment w:val="auto"/>
        <w:rPr>
          <w:szCs w:val="24"/>
          <w:lang w:eastAsia="en-GB"/>
        </w:rPr>
      </w:pPr>
      <w:r w:rsidRPr="00612BBC">
        <w:rPr>
          <w:szCs w:val="24"/>
          <w:vertAlign w:val="superscript"/>
          <w:lang w:eastAsia="en-GB"/>
        </w:rPr>
        <w:t>a</w:t>
      </w:r>
      <w:r w:rsidRPr="00612BBC">
        <w:rPr>
          <w:szCs w:val="24"/>
          <w:lang w:eastAsia="en-GB"/>
        </w:rPr>
        <w:t xml:space="preserve"> Data are limited. </w:t>
      </w:r>
    </w:p>
    <w:p w14:paraId="63207911" w14:textId="77777777" w:rsidR="00612BBC" w:rsidRPr="00612BBC" w:rsidRDefault="00612BBC" w:rsidP="00612BBC">
      <w:pPr>
        <w:overflowPunct/>
        <w:autoSpaceDE/>
        <w:autoSpaceDN/>
        <w:adjustRightInd/>
        <w:spacing w:before="100" w:beforeAutospacing="1" w:after="100" w:afterAutospacing="1"/>
        <w:textAlignment w:val="auto"/>
        <w:rPr>
          <w:szCs w:val="24"/>
          <w:lang w:eastAsia="en-GB"/>
        </w:rPr>
      </w:pPr>
      <w:r w:rsidRPr="00612BBC">
        <w:rPr>
          <w:szCs w:val="24"/>
          <w:vertAlign w:val="superscript"/>
          <w:lang w:eastAsia="en-GB"/>
        </w:rPr>
        <w:lastRenderedPageBreak/>
        <w:t>b</w:t>
      </w:r>
      <w:r w:rsidRPr="00612BBC">
        <w:rPr>
          <w:szCs w:val="24"/>
          <w:lang w:eastAsia="en-GB"/>
        </w:rPr>
        <w:t xml:space="preserve"> In healthy full-term infants only. </w:t>
      </w:r>
    </w:p>
    <w:p w14:paraId="6FD17E61" w14:textId="77777777" w:rsidR="00612BBC" w:rsidRPr="00612BBC" w:rsidRDefault="00612BBC" w:rsidP="00612BBC">
      <w:pPr>
        <w:overflowPunct/>
        <w:autoSpaceDE/>
        <w:autoSpaceDN/>
        <w:adjustRightInd/>
        <w:spacing w:before="100" w:beforeAutospacing="1" w:after="100" w:afterAutospacing="1"/>
        <w:textAlignment w:val="auto"/>
        <w:rPr>
          <w:szCs w:val="24"/>
          <w:lang w:eastAsia="en-GB"/>
        </w:rPr>
      </w:pPr>
      <w:r w:rsidRPr="00612BBC">
        <w:rPr>
          <w:szCs w:val="24"/>
          <w:vertAlign w:val="superscript"/>
          <w:lang w:eastAsia="en-GB"/>
        </w:rPr>
        <w:t>c</w:t>
      </w:r>
      <w:r w:rsidRPr="00612BBC">
        <w:rPr>
          <w:szCs w:val="24"/>
          <w:lang w:eastAsia="en-GB"/>
        </w:rPr>
        <w:t xml:space="preserve"> Conception may be enhanced by stopping SSZ for 3 months prior to conception. </w:t>
      </w:r>
    </w:p>
    <w:p w14:paraId="52EA3D15" w14:textId="77777777" w:rsidR="00612BBC" w:rsidRPr="00612BBC" w:rsidRDefault="00612BBC" w:rsidP="00612BBC">
      <w:pPr>
        <w:overflowPunct/>
        <w:autoSpaceDE/>
        <w:autoSpaceDN/>
        <w:adjustRightInd/>
        <w:spacing w:before="100" w:beforeAutospacing="1" w:after="100" w:afterAutospacing="1"/>
        <w:textAlignment w:val="auto"/>
        <w:rPr>
          <w:szCs w:val="24"/>
          <w:lang w:eastAsia="en-GB"/>
        </w:rPr>
      </w:pPr>
      <w:r w:rsidRPr="00612BBC">
        <w:rPr>
          <w:szCs w:val="24"/>
          <w:vertAlign w:val="superscript"/>
          <w:lang w:eastAsia="en-GB"/>
        </w:rPr>
        <w:t>d</w:t>
      </w:r>
      <w:r w:rsidRPr="00612BBC">
        <w:rPr>
          <w:szCs w:val="24"/>
          <w:lang w:eastAsia="en-GB"/>
        </w:rPr>
        <w:t xml:space="preserve"> Suggested monitoring of maternal blood pressure, renal function, blood glucose and drug levels. </w:t>
      </w:r>
    </w:p>
    <w:p w14:paraId="7F36338E" w14:textId="77777777" w:rsidR="00612BBC" w:rsidRPr="00612BBC" w:rsidRDefault="00612BBC" w:rsidP="00612BBC">
      <w:pPr>
        <w:overflowPunct/>
        <w:autoSpaceDE/>
        <w:autoSpaceDN/>
        <w:adjustRightInd/>
        <w:spacing w:before="100" w:beforeAutospacing="1" w:after="100" w:afterAutospacing="1"/>
        <w:textAlignment w:val="auto"/>
        <w:rPr>
          <w:szCs w:val="24"/>
          <w:lang w:eastAsia="en-GB"/>
        </w:rPr>
      </w:pPr>
      <w:r w:rsidRPr="00612BBC">
        <w:rPr>
          <w:szCs w:val="24"/>
          <w:vertAlign w:val="superscript"/>
          <w:lang w:eastAsia="en-GB"/>
        </w:rPr>
        <w:t>e</w:t>
      </w:r>
      <w:r w:rsidRPr="00612BBC">
        <w:rPr>
          <w:szCs w:val="24"/>
          <w:lang w:eastAsia="en-GB"/>
        </w:rPr>
        <w:t xml:space="preserve"> Only consider in severe or life-/organ-threatening maternal disease. </w:t>
      </w:r>
    </w:p>
    <w:p w14:paraId="5D64C220" w14:textId="77777777" w:rsidR="00612BBC" w:rsidRPr="00612BBC" w:rsidRDefault="00612BBC" w:rsidP="00612BBC">
      <w:pPr>
        <w:overflowPunct/>
        <w:autoSpaceDE/>
        <w:autoSpaceDN/>
        <w:adjustRightInd/>
        <w:spacing w:before="100" w:beforeAutospacing="1" w:after="100" w:afterAutospacing="1"/>
        <w:textAlignment w:val="auto"/>
        <w:rPr>
          <w:szCs w:val="24"/>
          <w:lang w:eastAsia="en-GB"/>
        </w:rPr>
      </w:pPr>
      <w:r w:rsidRPr="00612BBC">
        <w:rPr>
          <w:szCs w:val="24"/>
          <w:vertAlign w:val="superscript"/>
          <w:lang w:eastAsia="en-GB"/>
        </w:rPr>
        <w:t>f</w:t>
      </w:r>
      <w:r w:rsidRPr="00612BBC">
        <w:rPr>
          <w:szCs w:val="24"/>
          <w:lang w:eastAsia="en-GB"/>
        </w:rPr>
        <w:t xml:space="preserve"> Unintentional first trimester exposure is unlikely to be harmful. </w:t>
      </w:r>
    </w:p>
    <w:p w14:paraId="7D78230F" w14:textId="77777777" w:rsidR="00612BBC" w:rsidRPr="00612BBC" w:rsidRDefault="00612BBC" w:rsidP="00612BBC">
      <w:pPr>
        <w:overflowPunct/>
        <w:autoSpaceDE/>
        <w:autoSpaceDN/>
        <w:adjustRightInd/>
        <w:spacing w:before="100" w:beforeAutospacing="1" w:after="100" w:afterAutospacing="1"/>
        <w:textAlignment w:val="auto"/>
        <w:rPr>
          <w:szCs w:val="24"/>
          <w:lang w:eastAsia="en-GB"/>
        </w:rPr>
      </w:pPr>
      <w:r w:rsidRPr="00612BBC">
        <w:rPr>
          <w:szCs w:val="24"/>
          <w:vertAlign w:val="superscript"/>
          <w:lang w:eastAsia="en-GB"/>
        </w:rPr>
        <w:t>g</w:t>
      </w:r>
      <w:r w:rsidRPr="00612BBC">
        <w:rPr>
          <w:szCs w:val="24"/>
          <w:lang w:eastAsia="en-GB"/>
        </w:rPr>
        <w:t xml:space="preserve"> Unlikely to be harmful. </w:t>
      </w:r>
    </w:p>
    <w:p w14:paraId="217A8A5F" w14:textId="77777777" w:rsidR="00612BBC" w:rsidRPr="00612BBC" w:rsidRDefault="00612BBC" w:rsidP="00612BBC"/>
    <w:p w14:paraId="1F854BE1" w14:textId="77777777" w:rsidR="008C2BD4" w:rsidRDefault="008C2BD4">
      <w:pPr>
        <w:overflowPunct/>
        <w:autoSpaceDE/>
        <w:autoSpaceDN/>
        <w:adjustRightInd/>
        <w:spacing w:after="160" w:line="259" w:lineRule="auto"/>
        <w:textAlignment w:val="auto"/>
        <w:rPr>
          <w:rFonts w:eastAsiaTheme="majorEastAsia" w:cstheme="majorBidi"/>
          <w:b/>
          <w:sz w:val="32"/>
          <w:szCs w:val="32"/>
        </w:rPr>
      </w:pPr>
      <w:r>
        <w:br w:type="page"/>
      </w:r>
    </w:p>
    <w:p w14:paraId="088DC53C" w14:textId="77777777" w:rsidR="00612BBC" w:rsidRDefault="00612BBC" w:rsidP="008C2BD4">
      <w:pPr>
        <w:pStyle w:val="Heading1"/>
        <w:sectPr w:rsidR="00612BBC" w:rsidSect="00612BBC">
          <w:pgSz w:w="16838" w:h="11906" w:orient="landscape"/>
          <w:pgMar w:top="1440" w:right="1440" w:bottom="1440" w:left="1440" w:header="708" w:footer="708" w:gutter="0"/>
          <w:cols w:space="708"/>
          <w:docGrid w:linePitch="360"/>
        </w:sectPr>
      </w:pPr>
    </w:p>
    <w:p w14:paraId="200D5BB1" w14:textId="66633FA7" w:rsidR="008C2BD4" w:rsidRPr="00C57126" w:rsidRDefault="008C2BD4" w:rsidP="008C2BD4">
      <w:pPr>
        <w:pStyle w:val="Heading1"/>
      </w:pPr>
      <w:bookmarkStart w:id="46" w:name="_Toc531873954"/>
      <w:r w:rsidRPr="00C57126">
        <w:lastRenderedPageBreak/>
        <w:t>References:</w:t>
      </w:r>
      <w:bookmarkEnd w:id="46"/>
    </w:p>
    <w:p w14:paraId="3B836B65" w14:textId="77777777" w:rsidR="008C2BD4" w:rsidRPr="00C517F1" w:rsidRDefault="008C2BD4" w:rsidP="008C2BD4">
      <w:pPr>
        <w:overflowPunct/>
        <w:autoSpaceDE/>
        <w:autoSpaceDN/>
        <w:adjustRightInd/>
        <w:textAlignment w:val="auto"/>
        <w:rPr>
          <w:b/>
          <w:sz w:val="22"/>
          <w:szCs w:val="22"/>
        </w:rPr>
      </w:pPr>
    </w:p>
    <w:p w14:paraId="3BBBD038" w14:textId="77777777" w:rsidR="008C2BD4" w:rsidRPr="00C517F1" w:rsidRDefault="008C2BD4" w:rsidP="008C2BD4">
      <w:pPr>
        <w:rPr>
          <w:sz w:val="22"/>
          <w:szCs w:val="22"/>
        </w:rPr>
      </w:pPr>
      <w:r w:rsidRPr="00C517F1">
        <w:rPr>
          <w:sz w:val="22"/>
          <w:szCs w:val="22"/>
        </w:rPr>
        <w:t>Buch M. H., Smolen J. S., Betteridge N. et al. Updated consensus statement on the use of rituximab in patients with rheumatoid arthritis. Ann Rheum Dis 2011;70:909-920</w:t>
      </w:r>
    </w:p>
    <w:p w14:paraId="2F2FB59C" w14:textId="77777777" w:rsidR="008C2BD4" w:rsidRPr="00C517F1" w:rsidRDefault="008C2BD4" w:rsidP="008C2BD4">
      <w:pPr>
        <w:rPr>
          <w:sz w:val="22"/>
          <w:szCs w:val="22"/>
        </w:rPr>
      </w:pPr>
    </w:p>
    <w:p w14:paraId="5456DD2A" w14:textId="77777777" w:rsidR="008C2BD4" w:rsidRPr="00C517F1" w:rsidRDefault="008C2BD4" w:rsidP="008C2BD4">
      <w:pPr>
        <w:rPr>
          <w:sz w:val="22"/>
          <w:szCs w:val="22"/>
        </w:rPr>
      </w:pPr>
      <w:r w:rsidRPr="00C517F1">
        <w:rPr>
          <w:sz w:val="22"/>
          <w:szCs w:val="22"/>
        </w:rPr>
        <w:t xml:space="preserve">Department of Health Green Book Website: </w:t>
      </w:r>
    </w:p>
    <w:p w14:paraId="236F76A4" w14:textId="77777777" w:rsidR="008C2BD4" w:rsidRDefault="00323D19" w:rsidP="008C2BD4">
      <w:pPr>
        <w:rPr>
          <w:sz w:val="22"/>
          <w:szCs w:val="22"/>
        </w:rPr>
      </w:pPr>
      <w:hyperlink r:id="rId113" w:history="1">
        <w:r w:rsidR="008C2BD4" w:rsidRPr="00062162">
          <w:rPr>
            <w:rStyle w:val="Hyperlink"/>
            <w:sz w:val="22"/>
            <w:szCs w:val="22"/>
          </w:rPr>
          <w:t>https://www.gov.uk/government/collections/immunisation-against-infectious-disease-the-green-book</w:t>
        </w:r>
      </w:hyperlink>
    </w:p>
    <w:p w14:paraId="06273804" w14:textId="77777777" w:rsidR="008C2BD4" w:rsidRDefault="008C2BD4" w:rsidP="008C2BD4">
      <w:pPr>
        <w:rPr>
          <w:sz w:val="22"/>
          <w:szCs w:val="22"/>
        </w:rPr>
      </w:pPr>
    </w:p>
    <w:p w14:paraId="299C9B0A" w14:textId="77777777" w:rsidR="008C2BD4" w:rsidRPr="00C517F1" w:rsidRDefault="008C2BD4" w:rsidP="008C2BD4">
      <w:pPr>
        <w:rPr>
          <w:sz w:val="22"/>
          <w:szCs w:val="22"/>
        </w:rPr>
      </w:pPr>
      <w:r w:rsidRPr="00C517F1">
        <w:rPr>
          <w:sz w:val="22"/>
          <w:szCs w:val="22"/>
        </w:rPr>
        <w:t xml:space="preserve">Ding T., Ledingham J., Luqmani R. et al. BSR and BHPR rheumatoid arthritis guidelines on safety of anti-tnf therapies. </w:t>
      </w:r>
      <w:r w:rsidRPr="00C517F1">
        <w:rPr>
          <w:sz w:val="22"/>
          <w:szCs w:val="22"/>
          <w:lang w:eastAsia="en-GB"/>
        </w:rPr>
        <w:t>Rheumatology 2010;49:2217–2219</w:t>
      </w:r>
    </w:p>
    <w:p w14:paraId="77F4A133" w14:textId="77777777" w:rsidR="008C2BD4" w:rsidRPr="00C517F1" w:rsidRDefault="008C2BD4" w:rsidP="008C2BD4">
      <w:pPr>
        <w:rPr>
          <w:sz w:val="22"/>
          <w:szCs w:val="22"/>
        </w:rPr>
      </w:pPr>
    </w:p>
    <w:p w14:paraId="7ED9282C" w14:textId="77777777" w:rsidR="008C2BD4" w:rsidRPr="00DC17B7" w:rsidRDefault="00323D19" w:rsidP="008C2BD4">
      <w:pPr>
        <w:overflowPunct/>
        <w:autoSpaceDE/>
        <w:autoSpaceDN/>
        <w:adjustRightInd/>
        <w:rPr>
          <w:color w:val="333300"/>
          <w:sz w:val="22"/>
          <w:szCs w:val="22"/>
          <w:lang w:eastAsia="en-GB"/>
        </w:rPr>
      </w:pPr>
      <w:hyperlink r:id="rId114" w:history="1">
        <w:r w:rsidR="008C2BD4" w:rsidRPr="00DC17B7">
          <w:rPr>
            <w:bCs/>
            <w:color w:val="333333"/>
            <w:sz w:val="22"/>
            <w:szCs w:val="22"/>
            <w:bdr w:val="none" w:sz="0" w:space="0" w:color="auto" w:frame="1"/>
            <w:lang w:eastAsia="en-GB"/>
          </w:rPr>
          <w:t>Duru</w:t>
        </w:r>
      </w:hyperlink>
      <w:r w:rsidR="008C2BD4" w:rsidRPr="00DC17B7">
        <w:rPr>
          <w:color w:val="333333"/>
          <w:sz w:val="22"/>
          <w:szCs w:val="22"/>
          <w:bdr w:val="none" w:sz="0" w:space="0" w:color="auto" w:frame="1"/>
          <w:lang w:eastAsia="en-GB"/>
        </w:rPr>
        <w:t xml:space="preserve"> N., </w:t>
      </w:r>
      <w:hyperlink r:id="rId115" w:history="1">
        <w:r w:rsidR="008C2BD4" w:rsidRPr="00DC17B7">
          <w:rPr>
            <w:bCs/>
            <w:color w:val="333333"/>
            <w:sz w:val="22"/>
            <w:szCs w:val="22"/>
            <w:bdr w:val="none" w:sz="0" w:space="0" w:color="auto" w:frame="1"/>
            <w:lang w:eastAsia="en-GB"/>
          </w:rPr>
          <w:t>van der Goes</w:t>
        </w:r>
      </w:hyperlink>
      <w:hyperlink r:id="rId116" w:anchor="aff-1" w:history="1"/>
      <w:r w:rsidR="008C2BD4" w:rsidRPr="00DC17B7">
        <w:rPr>
          <w:color w:val="333333"/>
          <w:sz w:val="22"/>
          <w:szCs w:val="22"/>
          <w:lang w:eastAsia="en-GB"/>
        </w:rPr>
        <w:t xml:space="preserve"> M. C., </w:t>
      </w:r>
      <w:hyperlink r:id="rId117" w:history="1">
        <w:r w:rsidR="008C2BD4" w:rsidRPr="00DC17B7">
          <w:rPr>
            <w:bCs/>
            <w:color w:val="333333"/>
            <w:sz w:val="22"/>
            <w:szCs w:val="22"/>
            <w:bdr w:val="none" w:sz="0" w:space="0" w:color="auto" w:frame="1"/>
            <w:lang w:eastAsia="en-GB"/>
          </w:rPr>
          <w:t xml:space="preserve"> Jacobs</w:t>
        </w:r>
      </w:hyperlink>
      <w:r w:rsidR="008C2BD4" w:rsidRPr="00DC17B7">
        <w:rPr>
          <w:color w:val="333333"/>
          <w:sz w:val="22"/>
          <w:szCs w:val="22"/>
          <w:bdr w:val="none" w:sz="0" w:space="0" w:color="auto" w:frame="1"/>
          <w:lang w:eastAsia="en-GB"/>
        </w:rPr>
        <w:t xml:space="preserve"> J. W. G. et al.</w:t>
      </w:r>
      <w:r w:rsidR="008C2BD4" w:rsidRPr="00DC17B7">
        <w:rPr>
          <w:bCs/>
          <w:color w:val="333333"/>
          <w:kern w:val="36"/>
          <w:sz w:val="22"/>
          <w:szCs w:val="22"/>
          <w:lang w:eastAsia="en-GB"/>
        </w:rPr>
        <w:t xml:space="preserve"> EULAR evidence-based and consensus-based recommendations on the management of medium to high-dose glucocorticoid therapy in rheumatic diseases.</w:t>
      </w:r>
      <w:r w:rsidR="008C2BD4" w:rsidRPr="00DC17B7">
        <w:rPr>
          <w:iCs/>
          <w:color w:val="333300"/>
          <w:sz w:val="22"/>
          <w:szCs w:val="22"/>
          <w:bdr w:val="none" w:sz="0" w:space="0" w:color="auto" w:frame="1"/>
          <w:lang w:eastAsia="en-GB"/>
        </w:rPr>
        <w:t xml:space="preserve"> Ann Rheum Dis </w:t>
      </w:r>
      <w:r w:rsidR="008C2BD4" w:rsidRPr="00DC17B7">
        <w:rPr>
          <w:color w:val="333300"/>
          <w:sz w:val="22"/>
          <w:szCs w:val="22"/>
          <w:bdr w:val="none" w:sz="0" w:space="0" w:color="auto" w:frame="1"/>
          <w:lang w:eastAsia="en-GB"/>
        </w:rPr>
        <w:t>doi:10.1136/annrheumdis-2013-203249</w:t>
      </w:r>
    </w:p>
    <w:p w14:paraId="6BE7098E" w14:textId="77777777" w:rsidR="008C2BD4" w:rsidRPr="00C517F1" w:rsidRDefault="008C2BD4" w:rsidP="008C2BD4">
      <w:pPr>
        <w:overflowPunct/>
        <w:autoSpaceDE/>
        <w:autoSpaceDN/>
        <w:adjustRightInd/>
        <w:textAlignment w:val="auto"/>
        <w:rPr>
          <w:b/>
          <w:sz w:val="22"/>
          <w:szCs w:val="22"/>
        </w:rPr>
      </w:pPr>
    </w:p>
    <w:p w14:paraId="19668A3E" w14:textId="77777777" w:rsidR="008C2BD4" w:rsidRDefault="008C2BD4" w:rsidP="008C2BD4">
      <w:pPr>
        <w:overflowPunct/>
        <w:autoSpaceDE/>
        <w:autoSpaceDN/>
        <w:adjustRightInd/>
        <w:textAlignment w:val="auto"/>
        <w:rPr>
          <w:sz w:val="22"/>
          <w:szCs w:val="22"/>
        </w:rPr>
      </w:pPr>
      <w:r w:rsidRPr="00C517F1">
        <w:rPr>
          <w:sz w:val="22"/>
          <w:szCs w:val="22"/>
        </w:rPr>
        <w:t>Kapetanovic M. C., Kristensen L. E., Saxne T. et al. Impact of anti-rheumatic treatment on the immunogenicity of pandemic H1N1 influenza vaccine in patients with arthritis. Arthritis Research &amp; Therapy 2014, 16:R:R2 doi: 10.1186/ar4427</w:t>
      </w:r>
    </w:p>
    <w:p w14:paraId="0DD23788" w14:textId="77777777" w:rsidR="008C2BD4" w:rsidRDefault="008C2BD4" w:rsidP="008C2BD4">
      <w:pPr>
        <w:overflowPunct/>
        <w:autoSpaceDE/>
        <w:autoSpaceDN/>
        <w:adjustRightInd/>
        <w:textAlignment w:val="auto"/>
        <w:rPr>
          <w:sz w:val="22"/>
          <w:szCs w:val="22"/>
        </w:rPr>
      </w:pPr>
    </w:p>
    <w:p w14:paraId="54A90910" w14:textId="77777777" w:rsidR="008C2BD4" w:rsidRPr="002F2F57" w:rsidRDefault="008C2BD4" w:rsidP="008C2BD4">
      <w:pPr>
        <w:pStyle w:val="Default"/>
        <w:rPr>
          <w:sz w:val="22"/>
          <w:szCs w:val="22"/>
        </w:rPr>
      </w:pPr>
      <w:r w:rsidRPr="002F2F57">
        <w:rPr>
          <w:sz w:val="22"/>
          <w:szCs w:val="22"/>
        </w:rPr>
        <w:t xml:space="preserve">Osteoporosis - Clinical Guideline for Prevention and Treatment, Executive Summary - Updated March 2014. </w:t>
      </w:r>
      <w:r w:rsidRPr="002F2F57">
        <w:rPr>
          <w:color w:val="auto"/>
          <w:sz w:val="22"/>
          <w:szCs w:val="22"/>
        </w:rPr>
        <w:t xml:space="preserve"> </w:t>
      </w:r>
      <w:r w:rsidRPr="002F2F57">
        <w:rPr>
          <w:rStyle w:val="A3"/>
          <w:color w:val="auto"/>
          <w:sz w:val="22"/>
          <w:szCs w:val="22"/>
        </w:rPr>
        <w:t>National Osteoporosis Guideline Group on behalf of the Bone Research Society, British Geriatrics Society, British Orthopaedic Association, British Orthopaedics Research Society, British Society of Rheumatology, National Osteoporosis Society, Osteoporosis 2000, Osteoporosis Dorset, Primary Care Rheumatology Society, Royal College of Physicians and Society for Endocrinology</w:t>
      </w:r>
      <w:r>
        <w:rPr>
          <w:rStyle w:val="A3"/>
          <w:color w:val="auto"/>
          <w:sz w:val="22"/>
          <w:szCs w:val="22"/>
        </w:rPr>
        <w:t>.</w:t>
      </w:r>
    </w:p>
    <w:p w14:paraId="73CD8E8A" w14:textId="77777777" w:rsidR="008C2BD4" w:rsidRDefault="008C2BD4" w:rsidP="008C2BD4">
      <w:pPr>
        <w:overflowPunct/>
        <w:autoSpaceDE/>
        <w:autoSpaceDN/>
        <w:adjustRightInd/>
        <w:textAlignment w:val="auto"/>
        <w:rPr>
          <w:sz w:val="22"/>
          <w:szCs w:val="22"/>
        </w:rPr>
      </w:pPr>
    </w:p>
    <w:p w14:paraId="2FE23B45" w14:textId="77777777" w:rsidR="008C2BD4" w:rsidRDefault="008C2BD4" w:rsidP="008C2BD4">
      <w:pPr>
        <w:overflowPunct/>
        <w:autoSpaceDE/>
        <w:autoSpaceDN/>
        <w:adjustRightInd/>
        <w:spacing w:line="270" w:lineRule="atLeast"/>
        <w:textAlignment w:val="auto"/>
        <w:rPr>
          <w:rStyle w:val="slug-doi"/>
          <w:sz w:val="22"/>
          <w:szCs w:val="22"/>
          <w:bdr w:val="none" w:sz="0" w:space="0" w:color="auto" w:frame="1"/>
        </w:rPr>
      </w:pPr>
      <w:r w:rsidRPr="000C6433">
        <w:rPr>
          <w:sz w:val="22"/>
          <w:szCs w:val="22"/>
          <w:lang w:eastAsia="en-GB"/>
        </w:rPr>
        <w:t>Smolen J. S., Landewé R., Ferdinand C., Breedveld F. C. et al.</w:t>
      </w:r>
      <w:r>
        <w:rPr>
          <w:sz w:val="20"/>
          <w:lang w:eastAsia="en-GB"/>
        </w:rPr>
        <w:t xml:space="preserve"> </w:t>
      </w:r>
      <w:r w:rsidRPr="00053896">
        <w:rPr>
          <w:bCs/>
          <w:kern w:val="36"/>
          <w:sz w:val="22"/>
          <w:szCs w:val="22"/>
          <w:lang w:eastAsia="en-GB"/>
        </w:rPr>
        <w:t xml:space="preserve">Efficacy of conventional synthetic disease-modifying antirheumatic drugs, glucocorticoids and tofacitinib: a systematic literature review informing the 2013 update of the EULAR recommendations for management of rheumatoid arthritis . </w:t>
      </w:r>
      <w:r w:rsidRPr="00053896">
        <w:rPr>
          <w:i/>
          <w:iCs/>
          <w:sz w:val="22"/>
          <w:szCs w:val="22"/>
          <w:bdr w:val="none" w:sz="0" w:space="0" w:color="auto" w:frame="1"/>
        </w:rPr>
        <w:t>Ann Rheum Dis</w:t>
      </w:r>
      <w:r w:rsidRPr="00053896">
        <w:rPr>
          <w:rStyle w:val="apple-converted-space"/>
          <w:rFonts w:eastAsiaTheme="majorEastAsia"/>
          <w:i/>
          <w:iCs/>
          <w:sz w:val="22"/>
          <w:szCs w:val="22"/>
          <w:bdr w:val="none" w:sz="0" w:space="0" w:color="auto" w:frame="1"/>
        </w:rPr>
        <w:t> </w:t>
      </w:r>
      <w:r w:rsidRPr="00053896">
        <w:rPr>
          <w:rStyle w:val="slug-pub-date"/>
          <w:rFonts w:eastAsiaTheme="majorEastAsia"/>
          <w:sz w:val="22"/>
          <w:szCs w:val="22"/>
          <w:bdr w:val="none" w:sz="0" w:space="0" w:color="auto" w:frame="1"/>
        </w:rPr>
        <w:t>2014;</w:t>
      </w:r>
      <w:r w:rsidRPr="00053896">
        <w:rPr>
          <w:rStyle w:val="slug-vol"/>
          <w:rFonts w:eastAsiaTheme="majorEastAsia"/>
          <w:bCs/>
          <w:sz w:val="22"/>
          <w:szCs w:val="22"/>
          <w:bdr w:val="none" w:sz="0" w:space="0" w:color="auto" w:frame="1"/>
        </w:rPr>
        <w:t>73</w:t>
      </w:r>
      <w:r w:rsidRPr="00053896">
        <w:rPr>
          <w:rStyle w:val="cit-sep"/>
          <w:sz w:val="22"/>
          <w:szCs w:val="22"/>
          <w:bdr w:val="none" w:sz="0" w:space="0" w:color="auto" w:frame="1"/>
        </w:rPr>
        <w:t>:</w:t>
      </w:r>
      <w:r w:rsidRPr="00053896">
        <w:rPr>
          <w:rStyle w:val="slug-pages"/>
          <w:sz w:val="22"/>
          <w:szCs w:val="22"/>
          <w:bdr w:val="none" w:sz="0" w:space="0" w:color="auto" w:frame="1"/>
        </w:rPr>
        <w:t>510-515</w:t>
      </w:r>
      <w:r w:rsidRPr="00053896">
        <w:rPr>
          <w:rStyle w:val="apple-converted-space"/>
          <w:rFonts w:eastAsiaTheme="majorEastAsia"/>
          <w:sz w:val="22"/>
          <w:szCs w:val="22"/>
          <w:bdr w:val="none" w:sz="0" w:space="0" w:color="auto" w:frame="1"/>
        </w:rPr>
        <w:t> </w:t>
      </w:r>
      <w:r w:rsidRPr="00053896">
        <w:rPr>
          <w:rStyle w:val="slug-doi"/>
          <w:sz w:val="22"/>
          <w:szCs w:val="22"/>
          <w:bdr w:val="none" w:sz="0" w:space="0" w:color="auto" w:frame="1"/>
        </w:rPr>
        <w:t>doi:10.1136/annrheumdis-2013-204588</w:t>
      </w:r>
    </w:p>
    <w:p w14:paraId="150898B7" w14:textId="77777777" w:rsidR="008C2BD4" w:rsidRDefault="008C2BD4" w:rsidP="008C2BD4">
      <w:pPr>
        <w:overflowPunct/>
        <w:autoSpaceDE/>
        <w:autoSpaceDN/>
        <w:adjustRightInd/>
        <w:spacing w:line="270" w:lineRule="atLeast"/>
        <w:textAlignment w:val="auto"/>
        <w:rPr>
          <w:sz w:val="22"/>
          <w:szCs w:val="22"/>
          <w:bdr w:val="none" w:sz="0" w:space="0" w:color="auto" w:frame="1"/>
        </w:rPr>
      </w:pPr>
    </w:p>
    <w:p w14:paraId="05D7655F" w14:textId="77777777" w:rsidR="008C2BD4" w:rsidRPr="000C6433" w:rsidRDefault="008C2BD4" w:rsidP="008C2BD4">
      <w:pPr>
        <w:overflowPunct/>
        <w:autoSpaceDE/>
        <w:autoSpaceDN/>
        <w:adjustRightInd/>
        <w:spacing w:line="270" w:lineRule="atLeast"/>
        <w:textAlignment w:val="auto"/>
        <w:rPr>
          <w:sz w:val="22"/>
          <w:szCs w:val="22"/>
          <w:bdr w:val="none" w:sz="0" w:space="0" w:color="auto" w:frame="1"/>
        </w:rPr>
      </w:pPr>
      <w:r w:rsidRPr="00C517F1">
        <w:rPr>
          <w:sz w:val="22"/>
          <w:szCs w:val="22"/>
        </w:rPr>
        <w:t>Smolen J. S., Schoels M. M., Nishimoto N. et al. Consensus Statement on the blocking effects of inter-leukin-6 and in particular by interleukin-6 receptor inhibition in rheumatoid arthritis and other inflammatory conditions. Ann Rheum Dis 2013;72:482-492</w:t>
      </w:r>
    </w:p>
    <w:p w14:paraId="3358AC87" w14:textId="77777777" w:rsidR="008C2BD4" w:rsidRDefault="008C2BD4" w:rsidP="008C2BD4">
      <w:pPr>
        <w:overflowPunct/>
        <w:autoSpaceDE/>
        <w:autoSpaceDN/>
        <w:adjustRightInd/>
        <w:textAlignment w:val="auto"/>
        <w:rPr>
          <w:sz w:val="22"/>
          <w:szCs w:val="22"/>
        </w:rPr>
      </w:pPr>
    </w:p>
    <w:p w14:paraId="6BDF87AA" w14:textId="77777777" w:rsidR="008C2BD4" w:rsidRPr="00B95B67" w:rsidRDefault="008C2BD4" w:rsidP="008C2BD4">
      <w:pPr>
        <w:overflowPunct/>
        <w:autoSpaceDE/>
        <w:autoSpaceDN/>
        <w:adjustRightInd/>
        <w:textAlignment w:val="auto"/>
        <w:rPr>
          <w:sz w:val="22"/>
          <w:szCs w:val="22"/>
        </w:rPr>
      </w:pPr>
    </w:p>
    <w:p w14:paraId="4716023B" w14:textId="77777777" w:rsidR="00A443F9" w:rsidRDefault="00A443F9">
      <w:pPr>
        <w:overflowPunct/>
        <w:autoSpaceDE/>
        <w:autoSpaceDN/>
        <w:adjustRightInd/>
        <w:spacing w:after="160" w:line="259" w:lineRule="auto"/>
        <w:textAlignment w:val="auto"/>
      </w:pPr>
    </w:p>
    <w:sectPr w:rsidR="00A443F9" w:rsidSect="00612B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770A5" w14:textId="77777777" w:rsidR="00BF3C6B" w:rsidRDefault="00BF3C6B" w:rsidP="00884993">
      <w:r>
        <w:separator/>
      </w:r>
    </w:p>
  </w:endnote>
  <w:endnote w:type="continuationSeparator" w:id="0">
    <w:p w14:paraId="47419E92" w14:textId="77777777" w:rsidR="00BF3C6B" w:rsidRDefault="00BF3C6B" w:rsidP="0088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152437"/>
      <w:docPartObj>
        <w:docPartGallery w:val="Page Numbers (Bottom of Page)"/>
        <w:docPartUnique/>
      </w:docPartObj>
    </w:sdtPr>
    <w:sdtEndPr>
      <w:rPr>
        <w:noProof/>
      </w:rPr>
    </w:sdtEndPr>
    <w:sdtContent>
      <w:p w14:paraId="26514E57" w14:textId="739504AB" w:rsidR="00FD7634" w:rsidRDefault="00FD7634">
        <w:pPr>
          <w:pStyle w:val="Footer"/>
          <w:jc w:val="center"/>
        </w:pPr>
        <w:r>
          <w:fldChar w:fldCharType="begin"/>
        </w:r>
        <w:r>
          <w:instrText xml:space="preserve"> PAGE   \* MERGEFORMAT </w:instrText>
        </w:r>
        <w:r>
          <w:fldChar w:fldCharType="separate"/>
        </w:r>
        <w:r w:rsidR="00323D19">
          <w:rPr>
            <w:noProof/>
          </w:rPr>
          <w:t>1</w:t>
        </w:r>
        <w:r>
          <w:rPr>
            <w:noProof/>
          </w:rPr>
          <w:fldChar w:fldCharType="end"/>
        </w:r>
      </w:p>
    </w:sdtContent>
  </w:sdt>
  <w:p w14:paraId="30ED7827" w14:textId="77777777" w:rsidR="00FD7634" w:rsidRDefault="00FD7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D9853" w14:textId="77777777" w:rsidR="00BF3C6B" w:rsidRDefault="00BF3C6B" w:rsidP="00884993">
      <w:r>
        <w:separator/>
      </w:r>
    </w:p>
  </w:footnote>
  <w:footnote w:type="continuationSeparator" w:id="0">
    <w:p w14:paraId="1E1E80B4" w14:textId="77777777" w:rsidR="00BF3C6B" w:rsidRDefault="00BF3C6B" w:rsidP="00884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11"/>
    <w:multiLevelType w:val="hybridMultilevel"/>
    <w:tmpl w:val="B76E6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D206D8"/>
    <w:multiLevelType w:val="hybridMultilevel"/>
    <w:tmpl w:val="53B4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30CB3"/>
    <w:multiLevelType w:val="hybridMultilevel"/>
    <w:tmpl w:val="E14CDC74"/>
    <w:lvl w:ilvl="0" w:tplc="DCAC69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5134ED"/>
    <w:multiLevelType w:val="hybridMultilevel"/>
    <w:tmpl w:val="0E8C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43692"/>
    <w:multiLevelType w:val="hybridMultilevel"/>
    <w:tmpl w:val="30E0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A148BA"/>
    <w:multiLevelType w:val="hybridMultilevel"/>
    <w:tmpl w:val="7174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61FFF"/>
    <w:multiLevelType w:val="hybridMultilevel"/>
    <w:tmpl w:val="5AD068B6"/>
    <w:lvl w:ilvl="0" w:tplc="AD2872AE">
      <w:start w:val="1"/>
      <w:numFmt w:val="decimal"/>
      <w:pStyle w:val="Heading1"/>
      <w:lvlText w:val="%1."/>
      <w:lvlJc w:val="left"/>
      <w:pPr>
        <w:ind w:left="720" w:hanging="360"/>
      </w:pPr>
      <w:rPr>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CC0CA9"/>
    <w:multiLevelType w:val="hybridMultilevel"/>
    <w:tmpl w:val="99CCD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CE31D6"/>
    <w:multiLevelType w:val="hybridMultilevel"/>
    <w:tmpl w:val="23E4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E29B8"/>
    <w:multiLevelType w:val="hybridMultilevel"/>
    <w:tmpl w:val="3E64E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D861D3C"/>
    <w:multiLevelType w:val="hybridMultilevel"/>
    <w:tmpl w:val="A044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685F46"/>
    <w:multiLevelType w:val="hybridMultilevel"/>
    <w:tmpl w:val="76AC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6879C8"/>
    <w:multiLevelType w:val="hybridMultilevel"/>
    <w:tmpl w:val="9C9A4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DB918E4"/>
    <w:multiLevelType w:val="hybridMultilevel"/>
    <w:tmpl w:val="7A00A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6F3743"/>
    <w:multiLevelType w:val="hybridMultilevel"/>
    <w:tmpl w:val="967A3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B62BD1"/>
    <w:multiLevelType w:val="hybridMultilevel"/>
    <w:tmpl w:val="4356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9D5416"/>
    <w:multiLevelType w:val="hybridMultilevel"/>
    <w:tmpl w:val="4D86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3A44FD"/>
    <w:multiLevelType w:val="hybridMultilevel"/>
    <w:tmpl w:val="E266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595DD3"/>
    <w:multiLevelType w:val="hybridMultilevel"/>
    <w:tmpl w:val="3A7E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170870"/>
    <w:multiLevelType w:val="hybridMultilevel"/>
    <w:tmpl w:val="AE16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0147FF"/>
    <w:multiLevelType w:val="hybridMultilevel"/>
    <w:tmpl w:val="FDE6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4E1AE0"/>
    <w:multiLevelType w:val="hybridMultilevel"/>
    <w:tmpl w:val="5F54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296E99"/>
    <w:multiLevelType w:val="multilevel"/>
    <w:tmpl w:val="795AE6FC"/>
    <w:lvl w:ilvl="0">
      <w:start w:val="1"/>
      <w:numFmt w:val="bullet"/>
      <w:lvlText w:val="●"/>
      <w:lvlJc w:val="left"/>
      <w:pPr>
        <w:ind w:left="720" w:hanging="360"/>
      </w:pPr>
      <w:rPr>
        <w:rFonts w:ascii="Merriweather" w:eastAsia="Merriweather" w:hAnsi="Merriweather" w:cs="Merriweather"/>
        <w:color w:val="2A2A2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2D67F11"/>
    <w:multiLevelType w:val="hybridMultilevel"/>
    <w:tmpl w:val="FBCA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BA2824"/>
    <w:multiLevelType w:val="hybridMultilevel"/>
    <w:tmpl w:val="3198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8C1028"/>
    <w:multiLevelType w:val="hybridMultilevel"/>
    <w:tmpl w:val="1196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A172D6"/>
    <w:multiLevelType w:val="hybridMultilevel"/>
    <w:tmpl w:val="C1E61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36709AE"/>
    <w:multiLevelType w:val="hybridMultilevel"/>
    <w:tmpl w:val="1824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0"/>
  </w:num>
  <w:num w:numId="4">
    <w:abstractNumId w:val="13"/>
  </w:num>
  <w:num w:numId="5">
    <w:abstractNumId w:val="12"/>
  </w:num>
  <w:num w:numId="6">
    <w:abstractNumId w:val="4"/>
  </w:num>
  <w:num w:numId="7">
    <w:abstractNumId w:val="24"/>
  </w:num>
  <w:num w:numId="8">
    <w:abstractNumId w:val="11"/>
  </w:num>
  <w:num w:numId="9">
    <w:abstractNumId w:val="15"/>
  </w:num>
  <w:num w:numId="10">
    <w:abstractNumId w:val="2"/>
  </w:num>
  <w:num w:numId="11">
    <w:abstractNumId w:val="17"/>
  </w:num>
  <w:num w:numId="12">
    <w:abstractNumId w:val="5"/>
  </w:num>
  <w:num w:numId="13">
    <w:abstractNumId w:val="1"/>
  </w:num>
  <w:num w:numId="14">
    <w:abstractNumId w:val="19"/>
  </w:num>
  <w:num w:numId="15">
    <w:abstractNumId w:val="0"/>
  </w:num>
  <w:num w:numId="16">
    <w:abstractNumId w:val="26"/>
  </w:num>
  <w:num w:numId="17">
    <w:abstractNumId w:val="9"/>
  </w:num>
  <w:num w:numId="18">
    <w:abstractNumId w:val="7"/>
  </w:num>
  <w:num w:numId="19">
    <w:abstractNumId w:val="14"/>
  </w:num>
  <w:num w:numId="20">
    <w:abstractNumId w:val="21"/>
  </w:num>
  <w:num w:numId="21">
    <w:abstractNumId w:val="16"/>
  </w:num>
  <w:num w:numId="22">
    <w:abstractNumId w:val="25"/>
  </w:num>
  <w:num w:numId="23">
    <w:abstractNumId w:val="23"/>
  </w:num>
  <w:num w:numId="24">
    <w:abstractNumId w:val="22"/>
  </w:num>
  <w:num w:numId="25">
    <w:abstractNumId w:val="6"/>
  </w:num>
  <w:num w:numId="26">
    <w:abstractNumId w:val="8"/>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56"/>
    <w:rsid w:val="000011E6"/>
    <w:rsid w:val="00002652"/>
    <w:rsid w:val="000211C4"/>
    <w:rsid w:val="00027BF1"/>
    <w:rsid w:val="0008554C"/>
    <w:rsid w:val="00085954"/>
    <w:rsid w:val="00094335"/>
    <w:rsid w:val="000A2F37"/>
    <w:rsid w:val="000A3CEE"/>
    <w:rsid w:val="000E420A"/>
    <w:rsid w:val="000E5F1B"/>
    <w:rsid w:val="000F6769"/>
    <w:rsid w:val="001113B5"/>
    <w:rsid w:val="00112E5C"/>
    <w:rsid w:val="00121820"/>
    <w:rsid w:val="0013271F"/>
    <w:rsid w:val="00132E20"/>
    <w:rsid w:val="0013662E"/>
    <w:rsid w:val="001573D0"/>
    <w:rsid w:val="001A7746"/>
    <w:rsid w:val="001C116E"/>
    <w:rsid w:val="001D1703"/>
    <w:rsid w:val="001F0739"/>
    <w:rsid w:val="001F5A16"/>
    <w:rsid w:val="0020021A"/>
    <w:rsid w:val="002103F9"/>
    <w:rsid w:val="00213CEC"/>
    <w:rsid w:val="0021426B"/>
    <w:rsid w:val="00220DD7"/>
    <w:rsid w:val="00226EDA"/>
    <w:rsid w:val="002422F2"/>
    <w:rsid w:val="00283360"/>
    <w:rsid w:val="00295352"/>
    <w:rsid w:val="002B0129"/>
    <w:rsid w:val="002B2FEE"/>
    <w:rsid w:val="002E41FF"/>
    <w:rsid w:val="002E4D22"/>
    <w:rsid w:val="002F29C6"/>
    <w:rsid w:val="00301B71"/>
    <w:rsid w:val="003178DF"/>
    <w:rsid w:val="0032060D"/>
    <w:rsid w:val="00323D19"/>
    <w:rsid w:val="00332E72"/>
    <w:rsid w:val="0034195E"/>
    <w:rsid w:val="003452A2"/>
    <w:rsid w:val="00347979"/>
    <w:rsid w:val="0035413C"/>
    <w:rsid w:val="00356784"/>
    <w:rsid w:val="003653A3"/>
    <w:rsid w:val="00377408"/>
    <w:rsid w:val="003A1552"/>
    <w:rsid w:val="003C5A93"/>
    <w:rsid w:val="003D59D2"/>
    <w:rsid w:val="00403AE5"/>
    <w:rsid w:val="004132B1"/>
    <w:rsid w:val="004206F4"/>
    <w:rsid w:val="00453E87"/>
    <w:rsid w:val="0045758F"/>
    <w:rsid w:val="004645A9"/>
    <w:rsid w:val="00480E48"/>
    <w:rsid w:val="004917CD"/>
    <w:rsid w:val="00492B26"/>
    <w:rsid w:val="004A6ADA"/>
    <w:rsid w:val="004B6E8B"/>
    <w:rsid w:val="004C371C"/>
    <w:rsid w:val="004C3721"/>
    <w:rsid w:val="004E1CE6"/>
    <w:rsid w:val="004F0E11"/>
    <w:rsid w:val="0051092A"/>
    <w:rsid w:val="00530756"/>
    <w:rsid w:val="00534535"/>
    <w:rsid w:val="00534A33"/>
    <w:rsid w:val="005412C6"/>
    <w:rsid w:val="0054695F"/>
    <w:rsid w:val="00557715"/>
    <w:rsid w:val="0056157F"/>
    <w:rsid w:val="00566D2A"/>
    <w:rsid w:val="005732F4"/>
    <w:rsid w:val="00586C73"/>
    <w:rsid w:val="005B6053"/>
    <w:rsid w:val="005C56E7"/>
    <w:rsid w:val="005E570D"/>
    <w:rsid w:val="00604B75"/>
    <w:rsid w:val="00612BBC"/>
    <w:rsid w:val="00623E74"/>
    <w:rsid w:val="00626101"/>
    <w:rsid w:val="006351C6"/>
    <w:rsid w:val="0064263E"/>
    <w:rsid w:val="00657D5E"/>
    <w:rsid w:val="00682B19"/>
    <w:rsid w:val="006D0E60"/>
    <w:rsid w:val="006F7707"/>
    <w:rsid w:val="00717EEC"/>
    <w:rsid w:val="00744F25"/>
    <w:rsid w:val="007549D5"/>
    <w:rsid w:val="00783AC8"/>
    <w:rsid w:val="007A3C0E"/>
    <w:rsid w:val="007A4069"/>
    <w:rsid w:val="007A74CE"/>
    <w:rsid w:val="007B0D0B"/>
    <w:rsid w:val="007C1B93"/>
    <w:rsid w:val="007C1C85"/>
    <w:rsid w:val="007D4C1E"/>
    <w:rsid w:val="007E73E4"/>
    <w:rsid w:val="007F47FF"/>
    <w:rsid w:val="008142F5"/>
    <w:rsid w:val="00815207"/>
    <w:rsid w:val="0084011C"/>
    <w:rsid w:val="00850EAD"/>
    <w:rsid w:val="00855CD3"/>
    <w:rsid w:val="008640F8"/>
    <w:rsid w:val="00881714"/>
    <w:rsid w:val="00883346"/>
    <w:rsid w:val="00884993"/>
    <w:rsid w:val="008937DE"/>
    <w:rsid w:val="00893D04"/>
    <w:rsid w:val="008A4BD0"/>
    <w:rsid w:val="008B59F3"/>
    <w:rsid w:val="008C2BD4"/>
    <w:rsid w:val="008C571D"/>
    <w:rsid w:val="008C77EF"/>
    <w:rsid w:val="008E0980"/>
    <w:rsid w:val="00900C7D"/>
    <w:rsid w:val="00922873"/>
    <w:rsid w:val="00941ACA"/>
    <w:rsid w:val="00950957"/>
    <w:rsid w:val="00996F7B"/>
    <w:rsid w:val="00997119"/>
    <w:rsid w:val="009A2886"/>
    <w:rsid w:val="009E6072"/>
    <w:rsid w:val="009E62CA"/>
    <w:rsid w:val="00A00E79"/>
    <w:rsid w:val="00A040DE"/>
    <w:rsid w:val="00A37EB9"/>
    <w:rsid w:val="00A443F9"/>
    <w:rsid w:val="00A83B74"/>
    <w:rsid w:val="00A85A51"/>
    <w:rsid w:val="00A87C98"/>
    <w:rsid w:val="00A92D89"/>
    <w:rsid w:val="00AB40A8"/>
    <w:rsid w:val="00AB6659"/>
    <w:rsid w:val="00AC1290"/>
    <w:rsid w:val="00AD05CE"/>
    <w:rsid w:val="00AD11C1"/>
    <w:rsid w:val="00AD75BF"/>
    <w:rsid w:val="00AE1B65"/>
    <w:rsid w:val="00B014CA"/>
    <w:rsid w:val="00B01F6D"/>
    <w:rsid w:val="00B03CFB"/>
    <w:rsid w:val="00B139C2"/>
    <w:rsid w:val="00B21346"/>
    <w:rsid w:val="00B35FE5"/>
    <w:rsid w:val="00B36B4C"/>
    <w:rsid w:val="00B615AF"/>
    <w:rsid w:val="00B6319C"/>
    <w:rsid w:val="00B8526D"/>
    <w:rsid w:val="00B869EB"/>
    <w:rsid w:val="00B92D0F"/>
    <w:rsid w:val="00B979F5"/>
    <w:rsid w:val="00BA722F"/>
    <w:rsid w:val="00BB0D06"/>
    <w:rsid w:val="00BB305D"/>
    <w:rsid w:val="00BF2741"/>
    <w:rsid w:val="00BF3C6B"/>
    <w:rsid w:val="00C02B5B"/>
    <w:rsid w:val="00C50F51"/>
    <w:rsid w:val="00C63F80"/>
    <w:rsid w:val="00C97D00"/>
    <w:rsid w:val="00CA3B20"/>
    <w:rsid w:val="00CF02CD"/>
    <w:rsid w:val="00CF234C"/>
    <w:rsid w:val="00CF26B6"/>
    <w:rsid w:val="00D055E8"/>
    <w:rsid w:val="00D10903"/>
    <w:rsid w:val="00D12A10"/>
    <w:rsid w:val="00D304A4"/>
    <w:rsid w:val="00D3485B"/>
    <w:rsid w:val="00D42877"/>
    <w:rsid w:val="00D56B63"/>
    <w:rsid w:val="00D67096"/>
    <w:rsid w:val="00D72B14"/>
    <w:rsid w:val="00D94A71"/>
    <w:rsid w:val="00DA46B2"/>
    <w:rsid w:val="00DC3508"/>
    <w:rsid w:val="00DC47BE"/>
    <w:rsid w:val="00DC5F32"/>
    <w:rsid w:val="00DE5FCA"/>
    <w:rsid w:val="00DF1A14"/>
    <w:rsid w:val="00E234C7"/>
    <w:rsid w:val="00E32E61"/>
    <w:rsid w:val="00E33A0A"/>
    <w:rsid w:val="00E55240"/>
    <w:rsid w:val="00E9238C"/>
    <w:rsid w:val="00E9415F"/>
    <w:rsid w:val="00E973BF"/>
    <w:rsid w:val="00EA62C8"/>
    <w:rsid w:val="00EB1AB4"/>
    <w:rsid w:val="00EB43B1"/>
    <w:rsid w:val="00EE3FEC"/>
    <w:rsid w:val="00EE43FB"/>
    <w:rsid w:val="00F153A1"/>
    <w:rsid w:val="00F274B2"/>
    <w:rsid w:val="00F7512C"/>
    <w:rsid w:val="00F7753C"/>
    <w:rsid w:val="00F9139F"/>
    <w:rsid w:val="00F917D0"/>
    <w:rsid w:val="00F96EA6"/>
    <w:rsid w:val="00FB0308"/>
    <w:rsid w:val="00FB2B7D"/>
    <w:rsid w:val="00FD7634"/>
    <w:rsid w:val="00FE2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5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A4BD0"/>
    <w:pPr>
      <w:keepNext/>
      <w:keepLines/>
      <w:numPr>
        <w:numId w:val="25"/>
      </w:numPr>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A4BD0"/>
    <w:pPr>
      <w:keepNext/>
      <w:keepLines/>
      <w:spacing w:before="40"/>
      <w:jc w:val="center"/>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37EB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0756"/>
    <w:rPr>
      <w:b/>
      <w:sz w:val="36"/>
    </w:rPr>
  </w:style>
  <w:style w:type="character" w:customStyle="1" w:styleId="BodyTextChar">
    <w:name w:val="Body Text Char"/>
    <w:basedOn w:val="DefaultParagraphFont"/>
    <w:link w:val="BodyText"/>
    <w:rsid w:val="00530756"/>
    <w:rPr>
      <w:rFonts w:ascii="Times New Roman" w:eastAsia="Times New Roman" w:hAnsi="Times New Roman" w:cs="Times New Roman"/>
      <w:b/>
      <w:sz w:val="36"/>
      <w:szCs w:val="20"/>
    </w:rPr>
  </w:style>
  <w:style w:type="character" w:styleId="Hyperlink">
    <w:name w:val="Hyperlink"/>
    <w:uiPriority w:val="99"/>
    <w:rsid w:val="00530756"/>
    <w:rPr>
      <w:color w:val="0000FF"/>
      <w:u w:val="single"/>
    </w:rPr>
  </w:style>
  <w:style w:type="character" w:styleId="CommentReference">
    <w:name w:val="annotation reference"/>
    <w:basedOn w:val="DefaultParagraphFont"/>
    <w:uiPriority w:val="99"/>
    <w:semiHidden/>
    <w:unhideWhenUsed/>
    <w:rsid w:val="002B2FEE"/>
    <w:rPr>
      <w:sz w:val="16"/>
      <w:szCs w:val="16"/>
    </w:rPr>
  </w:style>
  <w:style w:type="paragraph" w:styleId="CommentText">
    <w:name w:val="annotation text"/>
    <w:basedOn w:val="Normal"/>
    <w:link w:val="CommentTextChar"/>
    <w:uiPriority w:val="99"/>
    <w:semiHidden/>
    <w:unhideWhenUsed/>
    <w:rsid w:val="002B2FEE"/>
    <w:rPr>
      <w:sz w:val="20"/>
    </w:rPr>
  </w:style>
  <w:style w:type="character" w:customStyle="1" w:styleId="CommentTextChar">
    <w:name w:val="Comment Text Char"/>
    <w:basedOn w:val="DefaultParagraphFont"/>
    <w:link w:val="CommentText"/>
    <w:uiPriority w:val="99"/>
    <w:semiHidden/>
    <w:rsid w:val="002B2F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2FEE"/>
    <w:rPr>
      <w:b/>
      <w:bCs/>
    </w:rPr>
  </w:style>
  <w:style w:type="character" w:customStyle="1" w:styleId="CommentSubjectChar">
    <w:name w:val="Comment Subject Char"/>
    <w:basedOn w:val="CommentTextChar"/>
    <w:link w:val="CommentSubject"/>
    <w:uiPriority w:val="99"/>
    <w:semiHidden/>
    <w:rsid w:val="002B2F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2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E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A4BD0"/>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8A4BD0"/>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37EB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3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6E8B"/>
    <w:pPr>
      <w:overflowPunct/>
      <w:autoSpaceDE/>
      <w:autoSpaceDN/>
      <w:adjustRightInd/>
      <w:spacing w:before="100" w:beforeAutospacing="1" w:after="100" w:afterAutospacing="1"/>
      <w:textAlignment w:val="auto"/>
    </w:pPr>
    <w:rPr>
      <w:szCs w:val="24"/>
      <w:lang w:eastAsia="en-GB"/>
    </w:rPr>
  </w:style>
  <w:style w:type="character" w:customStyle="1" w:styleId="apple-converted-space">
    <w:name w:val="apple-converted-space"/>
    <w:rsid w:val="008C2BD4"/>
  </w:style>
  <w:style w:type="character" w:customStyle="1" w:styleId="slug-pub-date">
    <w:name w:val="slug-pub-date"/>
    <w:rsid w:val="008C2BD4"/>
  </w:style>
  <w:style w:type="character" w:customStyle="1" w:styleId="slug-vol">
    <w:name w:val="slug-vol"/>
    <w:rsid w:val="008C2BD4"/>
  </w:style>
  <w:style w:type="character" w:customStyle="1" w:styleId="cit-sep">
    <w:name w:val="cit-sep"/>
    <w:rsid w:val="008C2BD4"/>
  </w:style>
  <w:style w:type="character" w:customStyle="1" w:styleId="slug-pages">
    <w:name w:val="slug-pages"/>
    <w:rsid w:val="008C2BD4"/>
  </w:style>
  <w:style w:type="character" w:customStyle="1" w:styleId="slug-doi">
    <w:name w:val="slug-doi"/>
    <w:rsid w:val="008C2BD4"/>
  </w:style>
  <w:style w:type="paragraph" w:customStyle="1" w:styleId="Default">
    <w:name w:val="Default"/>
    <w:rsid w:val="008C2BD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3">
    <w:name w:val="A3"/>
    <w:uiPriority w:val="99"/>
    <w:rsid w:val="008C2BD4"/>
    <w:rPr>
      <w:color w:val="000000"/>
      <w:sz w:val="25"/>
      <w:szCs w:val="25"/>
    </w:rPr>
  </w:style>
  <w:style w:type="paragraph" w:styleId="TOCHeading">
    <w:name w:val="TOC Heading"/>
    <w:basedOn w:val="Heading1"/>
    <w:next w:val="Normal"/>
    <w:uiPriority w:val="39"/>
    <w:unhideWhenUsed/>
    <w:qFormat/>
    <w:rsid w:val="00B979F5"/>
    <w:pPr>
      <w:numPr>
        <w:numId w:val="0"/>
      </w:numPr>
      <w:overflowPunct/>
      <w:autoSpaceDE/>
      <w:autoSpaceDN/>
      <w:adjustRightInd/>
      <w:spacing w:line="259" w:lineRule="auto"/>
      <w:textAlignment w:val="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884993"/>
    <w:pPr>
      <w:spacing w:after="100"/>
    </w:pPr>
    <w:rPr>
      <w:sz w:val="22"/>
    </w:rPr>
  </w:style>
  <w:style w:type="paragraph" w:styleId="TOC2">
    <w:name w:val="toc 2"/>
    <w:basedOn w:val="Normal"/>
    <w:next w:val="Normal"/>
    <w:autoRedefine/>
    <w:uiPriority w:val="39"/>
    <w:unhideWhenUsed/>
    <w:rsid w:val="00B979F5"/>
    <w:pPr>
      <w:spacing w:after="100"/>
      <w:ind w:left="240"/>
    </w:pPr>
  </w:style>
  <w:style w:type="paragraph" w:styleId="Header">
    <w:name w:val="header"/>
    <w:basedOn w:val="Normal"/>
    <w:link w:val="HeaderChar"/>
    <w:uiPriority w:val="99"/>
    <w:unhideWhenUsed/>
    <w:rsid w:val="00884993"/>
    <w:pPr>
      <w:tabs>
        <w:tab w:val="center" w:pos="4513"/>
        <w:tab w:val="right" w:pos="9026"/>
      </w:tabs>
    </w:pPr>
  </w:style>
  <w:style w:type="character" w:customStyle="1" w:styleId="HeaderChar">
    <w:name w:val="Header Char"/>
    <w:basedOn w:val="DefaultParagraphFont"/>
    <w:link w:val="Header"/>
    <w:uiPriority w:val="99"/>
    <w:rsid w:val="0088499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84993"/>
    <w:pPr>
      <w:tabs>
        <w:tab w:val="center" w:pos="4513"/>
        <w:tab w:val="right" w:pos="9026"/>
      </w:tabs>
    </w:pPr>
  </w:style>
  <w:style w:type="character" w:customStyle="1" w:styleId="FooterChar">
    <w:name w:val="Footer Char"/>
    <w:basedOn w:val="DefaultParagraphFont"/>
    <w:link w:val="Footer"/>
    <w:uiPriority w:val="99"/>
    <w:rsid w:val="00884993"/>
    <w:rPr>
      <w:rFonts w:ascii="Times New Roman" w:eastAsia="Times New Roman" w:hAnsi="Times New Roman" w:cs="Times New Roman"/>
      <w:sz w:val="24"/>
      <w:szCs w:val="20"/>
    </w:rPr>
  </w:style>
  <w:style w:type="table" w:customStyle="1" w:styleId="TableGridLight1">
    <w:name w:val="Table Grid Light1"/>
    <w:basedOn w:val="TableNormal"/>
    <w:uiPriority w:val="40"/>
    <w:rsid w:val="004F0E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4F0E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F0E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F0E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F0E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F0E1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AE1B65"/>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132B1"/>
    <w:rPr>
      <w:color w:val="954F72" w:themeColor="followedHyperlink"/>
      <w:u w:val="single"/>
    </w:rPr>
  </w:style>
  <w:style w:type="paragraph" w:styleId="ListParagraph">
    <w:name w:val="List Paragraph"/>
    <w:basedOn w:val="Normal"/>
    <w:uiPriority w:val="34"/>
    <w:qFormat/>
    <w:rsid w:val="007C1B93"/>
    <w:pPr>
      <w:ind w:left="720"/>
      <w:contextualSpacing/>
    </w:pPr>
  </w:style>
  <w:style w:type="character" w:customStyle="1" w:styleId="no-break">
    <w:name w:val="no-break"/>
    <w:basedOn w:val="DefaultParagraphFont"/>
    <w:rsid w:val="00F75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5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A4BD0"/>
    <w:pPr>
      <w:keepNext/>
      <w:keepLines/>
      <w:numPr>
        <w:numId w:val="25"/>
      </w:numPr>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A4BD0"/>
    <w:pPr>
      <w:keepNext/>
      <w:keepLines/>
      <w:spacing w:before="40"/>
      <w:jc w:val="center"/>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37EB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0756"/>
    <w:rPr>
      <w:b/>
      <w:sz w:val="36"/>
    </w:rPr>
  </w:style>
  <w:style w:type="character" w:customStyle="1" w:styleId="BodyTextChar">
    <w:name w:val="Body Text Char"/>
    <w:basedOn w:val="DefaultParagraphFont"/>
    <w:link w:val="BodyText"/>
    <w:rsid w:val="00530756"/>
    <w:rPr>
      <w:rFonts w:ascii="Times New Roman" w:eastAsia="Times New Roman" w:hAnsi="Times New Roman" w:cs="Times New Roman"/>
      <w:b/>
      <w:sz w:val="36"/>
      <w:szCs w:val="20"/>
    </w:rPr>
  </w:style>
  <w:style w:type="character" w:styleId="Hyperlink">
    <w:name w:val="Hyperlink"/>
    <w:uiPriority w:val="99"/>
    <w:rsid w:val="00530756"/>
    <w:rPr>
      <w:color w:val="0000FF"/>
      <w:u w:val="single"/>
    </w:rPr>
  </w:style>
  <w:style w:type="character" w:styleId="CommentReference">
    <w:name w:val="annotation reference"/>
    <w:basedOn w:val="DefaultParagraphFont"/>
    <w:uiPriority w:val="99"/>
    <w:semiHidden/>
    <w:unhideWhenUsed/>
    <w:rsid w:val="002B2FEE"/>
    <w:rPr>
      <w:sz w:val="16"/>
      <w:szCs w:val="16"/>
    </w:rPr>
  </w:style>
  <w:style w:type="paragraph" w:styleId="CommentText">
    <w:name w:val="annotation text"/>
    <w:basedOn w:val="Normal"/>
    <w:link w:val="CommentTextChar"/>
    <w:uiPriority w:val="99"/>
    <w:semiHidden/>
    <w:unhideWhenUsed/>
    <w:rsid w:val="002B2FEE"/>
    <w:rPr>
      <w:sz w:val="20"/>
    </w:rPr>
  </w:style>
  <w:style w:type="character" w:customStyle="1" w:styleId="CommentTextChar">
    <w:name w:val="Comment Text Char"/>
    <w:basedOn w:val="DefaultParagraphFont"/>
    <w:link w:val="CommentText"/>
    <w:uiPriority w:val="99"/>
    <w:semiHidden/>
    <w:rsid w:val="002B2F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2FEE"/>
    <w:rPr>
      <w:b/>
      <w:bCs/>
    </w:rPr>
  </w:style>
  <w:style w:type="character" w:customStyle="1" w:styleId="CommentSubjectChar">
    <w:name w:val="Comment Subject Char"/>
    <w:basedOn w:val="CommentTextChar"/>
    <w:link w:val="CommentSubject"/>
    <w:uiPriority w:val="99"/>
    <w:semiHidden/>
    <w:rsid w:val="002B2F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2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E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A4BD0"/>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8A4BD0"/>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37EB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3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6E8B"/>
    <w:pPr>
      <w:overflowPunct/>
      <w:autoSpaceDE/>
      <w:autoSpaceDN/>
      <w:adjustRightInd/>
      <w:spacing w:before="100" w:beforeAutospacing="1" w:after="100" w:afterAutospacing="1"/>
      <w:textAlignment w:val="auto"/>
    </w:pPr>
    <w:rPr>
      <w:szCs w:val="24"/>
      <w:lang w:eastAsia="en-GB"/>
    </w:rPr>
  </w:style>
  <w:style w:type="character" w:customStyle="1" w:styleId="apple-converted-space">
    <w:name w:val="apple-converted-space"/>
    <w:rsid w:val="008C2BD4"/>
  </w:style>
  <w:style w:type="character" w:customStyle="1" w:styleId="slug-pub-date">
    <w:name w:val="slug-pub-date"/>
    <w:rsid w:val="008C2BD4"/>
  </w:style>
  <w:style w:type="character" w:customStyle="1" w:styleId="slug-vol">
    <w:name w:val="slug-vol"/>
    <w:rsid w:val="008C2BD4"/>
  </w:style>
  <w:style w:type="character" w:customStyle="1" w:styleId="cit-sep">
    <w:name w:val="cit-sep"/>
    <w:rsid w:val="008C2BD4"/>
  </w:style>
  <w:style w:type="character" w:customStyle="1" w:styleId="slug-pages">
    <w:name w:val="slug-pages"/>
    <w:rsid w:val="008C2BD4"/>
  </w:style>
  <w:style w:type="character" w:customStyle="1" w:styleId="slug-doi">
    <w:name w:val="slug-doi"/>
    <w:rsid w:val="008C2BD4"/>
  </w:style>
  <w:style w:type="paragraph" w:customStyle="1" w:styleId="Default">
    <w:name w:val="Default"/>
    <w:rsid w:val="008C2BD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3">
    <w:name w:val="A3"/>
    <w:uiPriority w:val="99"/>
    <w:rsid w:val="008C2BD4"/>
    <w:rPr>
      <w:color w:val="000000"/>
      <w:sz w:val="25"/>
      <w:szCs w:val="25"/>
    </w:rPr>
  </w:style>
  <w:style w:type="paragraph" w:styleId="TOCHeading">
    <w:name w:val="TOC Heading"/>
    <w:basedOn w:val="Heading1"/>
    <w:next w:val="Normal"/>
    <w:uiPriority w:val="39"/>
    <w:unhideWhenUsed/>
    <w:qFormat/>
    <w:rsid w:val="00B979F5"/>
    <w:pPr>
      <w:numPr>
        <w:numId w:val="0"/>
      </w:numPr>
      <w:overflowPunct/>
      <w:autoSpaceDE/>
      <w:autoSpaceDN/>
      <w:adjustRightInd/>
      <w:spacing w:line="259" w:lineRule="auto"/>
      <w:textAlignment w:val="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884993"/>
    <w:pPr>
      <w:spacing w:after="100"/>
    </w:pPr>
    <w:rPr>
      <w:sz w:val="22"/>
    </w:rPr>
  </w:style>
  <w:style w:type="paragraph" w:styleId="TOC2">
    <w:name w:val="toc 2"/>
    <w:basedOn w:val="Normal"/>
    <w:next w:val="Normal"/>
    <w:autoRedefine/>
    <w:uiPriority w:val="39"/>
    <w:unhideWhenUsed/>
    <w:rsid w:val="00B979F5"/>
    <w:pPr>
      <w:spacing w:after="100"/>
      <w:ind w:left="240"/>
    </w:pPr>
  </w:style>
  <w:style w:type="paragraph" w:styleId="Header">
    <w:name w:val="header"/>
    <w:basedOn w:val="Normal"/>
    <w:link w:val="HeaderChar"/>
    <w:uiPriority w:val="99"/>
    <w:unhideWhenUsed/>
    <w:rsid w:val="00884993"/>
    <w:pPr>
      <w:tabs>
        <w:tab w:val="center" w:pos="4513"/>
        <w:tab w:val="right" w:pos="9026"/>
      </w:tabs>
    </w:pPr>
  </w:style>
  <w:style w:type="character" w:customStyle="1" w:styleId="HeaderChar">
    <w:name w:val="Header Char"/>
    <w:basedOn w:val="DefaultParagraphFont"/>
    <w:link w:val="Header"/>
    <w:uiPriority w:val="99"/>
    <w:rsid w:val="0088499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84993"/>
    <w:pPr>
      <w:tabs>
        <w:tab w:val="center" w:pos="4513"/>
        <w:tab w:val="right" w:pos="9026"/>
      </w:tabs>
    </w:pPr>
  </w:style>
  <w:style w:type="character" w:customStyle="1" w:styleId="FooterChar">
    <w:name w:val="Footer Char"/>
    <w:basedOn w:val="DefaultParagraphFont"/>
    <w:link w:val="Footer"/>
    <w:uiPriority w:val="99"/>
    <w:rsid w:val="00884993"/>
    <w:rPr>
      <w:rFonts w:ascii="Times New Roman" w:eastAsia="Times New Roman" w:hAnsi="Times New Roman" w:cs="Times New Roman"/>
      <w:sz w:val="24"/>
      <w:szCs w:val="20"/>
    </w:rPr>
  </w:style>
  <w:style w:type="table" w:customStyle="1" w:styleId="TableGridLight1">
    <w:name w:val="Table Grid Light1"/>
    <w:basedOn w:val="TableNormal"/>
    <w:uiPriority w:val="40"/>
    <w:rsid w:val="004F0E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4F0E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F0E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F0E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F0E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F0E1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AE1B65"/>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132B1"/>
    <w:rPr>
      <w:color w:val="954F72" w:themeColor="followedHyperlink"/>
      <w:u w:val="single"/>
    </w:rPr>
  </w:style>
  <w:style w:type="paragraph" w:styleId="ListParagraph">
    <w:name w:val="List Paragraph"/>
    <w:basedOn w:val="Normal"/>
    <w:uiPriority w:val="34"/>
    <w:qFormat/>
    <w:rsid w:val="007C1B93"/>
    <w:pPr>
      <w:ind w:left="720"/>
      <w:contextualSpacing/>
    </w:pPr>
  </w:style>
  <w:style w:type="character" w:customStyle="1" w:styleId="no-break">
    <w:name w:val="no-break"/>
    <w:basedOn w:val="DefaultParagraphFont"/>
    <w:rsid w:val="00F7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757">
      <w:bodyDiv w:val="1"/>
      <w:marLeft w:val="0"/>
      <w:marRight w:val="0"/>
      <w:marTop w:val="0"/>
      <w:marBottom w:val="0"/>
      <w:divBdr>
        <w:top w:val="none" w:sz="0" w:space="0" w:color="auto"/>
        <w:left w:val="none" w:sz="0" w:space="0" w:color="auto"/>
        <w:bottom w:val="none" w:sz="0" w:space="0" w:color="auto"/>
        <w:right w:val="none" w:sz="0" w:space="0" w:color="auto"/>
      </w:divBdr>
    </w:div>
    <w:div w:id="422459113">
      <w:bodyDiv w:val="1"/>
      <w:marLeft w:val="0"/>
      <w:marRight w:val="0"/>
      <w:marTop w:val="0"/>
      <w:marBottom w:val="0"/>
      <w:divBdr>
        <w:top w:val="none" w:sz="0" w:space="0" w:color="auto"/>
        <w:left w:val="none" w:sz="0" w:space="0" w:color="auto"/>
        <w:bottom w:val="none" w:sz="0" w:space="0" w:color="auto"/>
        <w:right w:val="none" w:sz="0" w:space="0" w:color="auto"/>
      </w:divBdr>
    </w:div>
    <w:div w:id="461653020">
      <w:bodyDiv w:val="1"/>
      <w:marLeft w:val="0"/>
      <w:marRight w:val="0"/>
      <w:marTop w:val="0"/>
      <w:marBottom w:val="0"/>
      <w:divBdr>
        <w:top w:val="none" w:sz="0" w:space="0" w:color="auto"/>
        <w:left w:val="none" w:sz="0" w:space="0" w:color="auto"/>
        <w:bottom w:val="none" w:sz="0" w:space="0" w:color="auto"/>
        <w:right w:val="none" w:sz="0" w:space="0" w:color="auto"/>
      </w:divBdr>
    </w:div>
    <w:div w:id="651250796">
      <w:bodyDiv w:val="1"/>
      <w:marLeft w:val="0"/>
      <w:marRight w:val="0"/>
      <w:marTop w:val="0"/>
      <w:marBottom w:val="0"/>
      <w:divBdr>
        <w:top w:val="none" w:sz="0" w:space="0" w:color="auto"/>
        <w:left w:val="none" w:sz="0" w:space="0" w:color="auto"/>
        <w:bottom w:val="none" w:sz="0" w:space="0" w:color="auto"/>
        <w:right w:val="none" w:sz="0" w:space="0" w:color="auto"/>
      </w:divBdr>
    </w:div>
    <w:div w:id="994258064">
      <w:bodyDiv w:val="1"/>
      <w:marLeft w:val="0"/>
      <w:marRight w:val="0"/>
      <w:marTop w:val="0"/>
      <w:marBottom w:val="0"/>
      <w:divBdr>
        <w:top w:val="none" w:sz="0" w:space="0" w:color="auto"/>
        <w:left w:val="none" w:sz="0" w:space="0" w:color="auto"/>
        <w:bottom w:val="none" w:sz="0" w:space="0" w:color="auto"/>
        <w:right w:val="none" w:sz="0" w:space="0" w:color="auto"/>
      </w:divBdr>
    </w:div>
    <w:div w:id="1103964588">
      <w:bodyDiv w:val="1"/>
      <w:marLeft w:val="0"/>
      <w:marRight w:val="0"/>
      <w:marTop w:val="0"/>
      <w:marBottom w:val="0"/>
      <w:divBdr>
        <w:top w:val="none" w:sz="0" w:space="0" w:color="auto"/>
        <w:left w:val="none" w:sz="0" w:space="0" w:color="auto"/>
        <w:bottom w:val="none" w:sz="0" w:space="0" w:color="auto"/>
        <w:right w:val="none" w:sz="0" w:space="0" w:color="auto"/>
      </w:divBdr>
      <w:divsChild>
        <w:div w:id="186599243">
          <w:marLeft w:val="0"/>
          <w:marRight w:val="0"/>
          <w:marTop w:val="0"/>
          <w:marBottom w:val="0"/>
          <w:divBdr>
            <w:top w:val="none" w:sz="0" w:space="0" w:color="auto"/>
            <w:left w:val="none" w:sz="0" w:space="0" w:color="auto"/>
            <w:bottom w:val="none" w:sz="0" w:space="0" w:color="auto"/>
            <w:right w:val="none" w:sz="0" w:space="0" w:color="auto"/>
          </w:divBdr>
        </w:div>
        <w:div w:id="1079861910">
          <w:marLeft w:val="0"/>
          <w:marRight w:val="0"/>
          <w:marTop w:val="0"/>
          <w:marBottom w:val="0"/>
          <w:divBdr>
            <w:top w:val="none" w:sz="0" w:space="0" w:color="auto"/>
            <w:left w:val="none" w:sz="0" w:space="0" w:color="auto"/>
            <w:bottom w:val="none" w:sz="0" w:space="0" w:color="auto"/>
            <w:right w:val="none" w:sz="0" w:space="0" w:color="auto"/>
          </w:divBdr>
          <w:divsChild>
            <w:div w:id="595940176">
              <w:marLeft w:val="0"/>
              <w:marRight w:val="0"/>
              <w:marTop w:val="0"/>
              <w:marBottom w:val="0"/>
              <w:divBdr>
                <w:top w:val="none" w:sz="0" w:space="0" w:color="auto"/>
                <w:left w:val="none" w:sz="0" w:space="0" w:color="auto"/>
                <w:bottom w:val="none" w:sz="0" w:space="0" w:color="auto"/>
                <w:right w:val="none" w:sz="0" w:space="0" w:color="auto"/>
              </w:divBdr>
              <w:divsChild>
                <w:div w:id="545260208">
                  <w:marLeft w:val="0"/>
                  <w:marRight w:val="0"/>
                  <w:marTop w:val="0"/>
                  <w:marBottom w:val="0"/>
                  <w:divBdr>
                    <w:top w:val="none" w:sz="0" w:space="0" w:color="auto"/>
                    <w:left w:val="none" w:sz="0" w:space="0" w:color="auto"/>
                    <w:bottom w:val="none" w:sz="0" w:space="0" w:color="auto"/>
                    <w:right w:val="none" w:sz="0" w:space="0" w:color="auto"/>
                  </w:divBdr>
                </w:div>
              </w:divsChild>
            </w:div>
            <w:div w:id="644167893">
              <w:marLeft w:val="0"/>
              <w:marRight w:val="0"/>
              <w:marTop w:val="0"/>
              <w:marBottom w:val="0"/>
              <w:divBdr>
                <w:top w:val="none" w:sz="0" w:space="0" w:color="auto"/>
                <w:left w:val="none" w:sz="0" w:space="0" w:color="auto"/>
                <w:bottom w:val="none" w:sz="0" w:space="0" w:color="auto"/>
                <w:right w:val="none" w:sz="0" w:space="0" w:color="auto"/>
              </w:divBdr>
              <w:divsChild>
                <w:div w:id="1323662676">
                  <w:marLeft w:val="0"/>
                  <w:marRight w:val="0"/>
                  <w:marTop w:val="0"/>
                  <w:marBottom w:val="0"/>
                  <w:divBdr>
                    <w:top w:val="none" w:sz="0" w:space="0" w:color="auto"/>
                    <w:left w:val="none" w:sz="0" w:space="0" w:color="auto"/>
                    <w:bottom w:val="none" w:sz="0" w:space="0" w:color="auto"/>
                    <w:right w:val="none" w:sz="0" w:space="0" w:color="auto"/>
                  </w:divBdr>
                </w:div>
              </w:divsChild>
            </w:div>
            <w:div w:id="1014069452">
              <w:marLeft w:val="0"/>
              <w:marRight w:val="0"/>
              <w:marTop w:val="0"/>
              <w:marBottom w:val="0"/>
              <w:divBdr>
                <w:top w:val="none" w:sz="0" w:space="0" w:color="auto"/>
                <w:left w:val="none" w:sz="0" w:space="0" w:color="auto"/>
                <w:bottom w:val="none" w:sz="0" w:space="0" w:color="auto"/>
                <w:right w:val="none" w:sz="0" w:space="0" w:color="auto"/>
              </w:divBdr>
              <w:divsChild>
                <w:div w:id="1839038161">
                  <w:marLeft w:val="0"/>
                  <w:marRight w:val="0"/>
                  <w:marTop w:val="0"/>
                  <w:marBottom w:val="0"/>
                  <w:divBdr>
                    <w:top w:val="none" w:sz="0" w:space="0" w:color="auto"/>
                    <w:left w:val="none" w:sz="0" w:space="0" w:color="auto"/>
                    <w:bottom w:val="none" w:sz="0" w:space="0" w:color="auto"/>
                    <w:right w:val="none" w:sz="0" w:space="0" w:color="auto"/>
                  </w:divBdr>
                </w:div>
              </w:divsChild>
            </w:div>
            <w:div w:id="324406209">
              <w:marLeft w:val="0"/>
              <w:marRight w:val="0"/>
              <w:marTop w:val="0"/>
              <w:marBottom w:val="0"/>
              <w:divBdr>
                <w:top w:val="none" w:sz="0" w:space="0" w:color="auto"/>
                <w:left w:val="none" w:sz="0" w:space="0" w:color="auto"/>
                <w:bottom w:val="none" w:sz="0" w:space="0" w:color="auto"/>
                <w:right w:val="none" w:sz="0" w:space="0" w:color="auto"/>
              </w:divBdr>
              <w:divsChild>
                <w:div w:id="1298990214">
                  <w:marLeft w:val="0"/>
                  <w:marRight w:val="0"/>
                  <w:marTop w:val="0"/>
                  <w:marBottom w:val="0"/>
                  <w:divBdr>
                    <w:top w:val="none" w:sz="0" w:space="0" w:color="auto"/>
                    <w:left w:val="none" w:sz="0" w:space="0" w:color="auto"/>
                    <w:bottom w:val="none" w:sz="0" w:space="0" w:color="auto"/>
                    <w:right w:val="none" w:sz="0" w:space="0" w:color="auto"/>
                  </w:divBdr>
                </w:div>
              </w:divsChild>
            </w:div>
            <w:div w:id="1020401054">
              <w:marLeft w:val="0"/>
              <w:marRight w:val="0"/>
              <w:marTop w:val="0"/>
              <w:marBottom w:val="0"/>
              <w:divBdr>
                <w:top w:val="none" w:sz="0" w:space="0" w:color="auto"/>
                <w:left w:val="none" w:sz="0" w:space="0" w:color="auto"/>
                <w:bottom w:val="none" w:sz="0" w:space="0" w:color="auto"/>
                <w:right w:val="none" w:sz="0" w:space="0" w:color="auto"/>
              </w:divBdr>
              <w:divsChild>
                <w:div w:id="109711843">
                  <w:marLeft w:val="0"/>
                  <w:marRight w:val="0"/>
                  <w:marTop w:val="0"/>
                  <w:marBottom w:val="0"/>
                  <w:divBdr>
                    <w:top w:val="none" w:sz="0" w:space="0" w:color="auto"/>
                    <w:left w:val="none" w:sz="0" w:space="0" w:color="auto"/>
                    <w:bottom w:val="none" w:sz="0" w:space="0" w:color="auto"/>
                    <w:right w:val="none" w:sz="0" w:space="0" w:color="auto"/>
                  </w:divBdr>
                </w:div>
              </w:divsChild>
            </w:div>
            <w:div w:id="114757560">
              <w:marLeft w:val="0"/>
              <w:marRight w:val="0"/>
              <w:marTop w:val="0"/>
              <w:marBottom w:val="0"/>
              <w:divBdr>
                <w:top w:val="none" w:sz="0" w:space="0" w:color="auto"/>
                <w:left w:val="none" w:sz="0" w:space="0" w:color="auto"/>
                <w:bottom w:val="none" w:sz="0" w:space="0" w:color="auto"/>
                <w:right w:val="none" w:sz="0" w:space="0" w:color="auto"/>
              </w:divBdr>
              <w:divsChild>
                <w:div w:id="1669401194">
                  <w:marLeft w:val="0"/>
                  <w:marRight w:val="0"/>
                  <w:marTop w:val="0"/>
                  <w:marBottom w:val="0"/>
                  <w:divBdr>
                    <w:top w:val="none" w:sz="0" w:space="0" w:color="auto"/>
                    <w:left w:val="none" w:sz="0" w:space="0" w:color="auto"/>
                    <w:bottom w:val="none" w:sz="0" w:space="0" w:color="auto"/>
                    <w:right w:val="none" w:sz="0" w:space="0" w:color="auto"/>
                  </w:divBdr>
                </w:div>
              </w:divsChild>
            </w:div>
            <w:div w:id="206571423">
              <w:marLeft w:val="0"/>
              <w:marRight w:val="0"/>
              <w:marTop w:val="0"/>
              <w:marBottom w:val="0"/>
              <w:divBdr>
                <w:top w:val="none" w:sz="0" w:space="0" w:color="auto"/>
                <w:left w:val="none" w:sz="0" w:space="0" w:color="auto"/>
                <w:bottom w:val="none" w:sz="0" w:space="0" w:color="auto"/>
                <w:right w:val="none" w:sz="0" w:space="0" w:color="auto"/>
              </w:divBdr>
              <w:divsChild>
                <w:div w:id="24839195">
                  <w:marLeft w:val="0"/>
                  <w:marRight w:val="0"/>
                  <w:marTop w:val="0"/>
                  <w:marBottom w:val="0"/>
                  <w:divBdr>
                    <w:top w:val="none" w:sz="0" w:space="0" w:color="auto"/>
                    <w:left w:val="none" w:sz="0" w:space="0" w:color="auto"/>
                    <w:bottom w:val="none" w:sz="0" w:space="0" w:color="auto"/>
                    <w:right w:val="none" w:sz="0" w:space="0" w:color="auto"/>
                  </w:divBdr>
                </w:div>
              </w:divsChild>
            </w:div>
            <w:div w:id="1366373298">
              <w:marLeft w:val="0"/>
              <w:marRight w:val="0"/>
              <w:marTop w:val="0"/>
              <w:marBottom w:val="0"/>
              <w:divBdr>
                <w:top w:val="none" w:sz="0" w:space="0" w:color="auto"/>
                <w:left w:val="none" w:sz="0" w:space="0" w:color="auto"/>
                <w:bottom w:val="none" w:sz="0" w:space="0" w:color="auto"/>
                <w:right w:val="none" w:sz="0" w:space="0" w:color="auto"/>
              </w:divBdr>
              <w:divsChild>
                <w:div w:id="20511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ice.org.uk/guidance/ta415" TargetMode="External"/><Relationship Id="rId117" Type="http://schemas.openxmlformats.org/officeDocument/2006/relationships/hyperlink" Target="http://ard.bmj.com/search?author1=J+W+G+Jacobs&amp;sortspec=date&amp;submit=Submit" TargetMode="External"/><Relationship Id="rId21" Type="http://schemas.openxmlformats.org/officeDocument/2006/relationships/hyperlink" Target="https://www.nice.org.uk/guidance/ta195" TargetMode="External"/><Relationship Id="rId42" Type="http://schemas.openxmlformats.org/officeDocument/2006/relationships/hyperlink" Target="https://www.nice.org.uk/guidance/ta537" TargetMode="External"/><Relationship Id="rId47" Type="http://schemas.openxmlformats.org/officeDocument/2006/relationships/hyperlink" Target="https://www.nice.org.uk/guidance/TA445" TargetMode="External"/><Relationship Id="rId63" Type="http://schemas.openxmlformats.org/officeDocument/2006/relationships/hyperlink" Target="https://www.nice.org.uk/guidance/ta195" TargetMode="External"/><Relationship Id="rId68" Type="http://schemas.openxmlformats.org/officeDocument/2006/relationships/hyperlink" Target="http://www.medicines.org.uk/EMC/medicine/24769/SPC/Benlysta+120+mg+and+400+mg+powder+for+concentrate+for+solution+for+infusion/" TargetMode="External"/><Relationship Id="rId84" Type="http://schemas.openxmlformats.org/officeDocument/2006/relationships/hyperlink" Target="https://www.nice.org.uk/guidance/ta497" TargetMode="External"/><Relationship Id="rId89" Type="http://schemas.openxmlformats.org/officeDocument/2006/relationships/hyperlink" Target="https://www.nice.org.uk/guidance/ta383" TargetMode="External"/><Relationship Id="rId112" Type="http://schemas.openxmlformats.org/officeDocument/2006/relationships/hyperlink" Target="https://www.nice.org.uk/guidance/TA543" TargetMode="External"/><Relationship Id="rId16" Type="http://schemas.openxmlformats.org/officeDocument/2006/relationships/hyperlink" Target="https://www.nice.org.uk/guidance/TA375" TargetMode="External"/><Relationship Id="rId107" Type="http://schemas.openxmlformats.org/officeDocument/2006/relationships/hyperlink" Target="https://www.nice.org.uk/guidance/TA445" TargetMode="External"/><Relationship Id="rId11" Type="http://schemas.openxmlformats.org/officeDocument/2006/relationships/hyperlink" Target="http://www.medicines.org.uk/EMC/medicine/18613/SPC/Myocrisin+100mg+ml+Solution+for+Injection/" TargetMode="External"/><Relationship Id="rId24" Type="http://schemas.openxmlformats.org/officeDocument/2006/relationships/hyperlink" Target="https://www.nice.org.uk/guidance/ta373" TargetMode="External"/><Relationship Id="rId32" Type="http://schemas.openxmlformats.org/officeDocument/2006/relationships/hyperlink" Target="https://www.nice.org.uk/guidance/ta383" TargetMode="External"/><Relationship Id="rId37" Type="http://schemas.openxmlformats.org/officeDocument/2006/relationships/hyperlink" Target="https://www.nice.org.uk/guidance/ta383" TargetMode="External"/><Relationship Id="rId40" Type="http://schemas.openxmlformats.org/officeDocument/2006/relationships/hyperlink" Target="https://www.nice.org.uk/guidance/ta373" TargetMode="External"/><Relationship Id="rId45" Type="http://schemas.openxmlformats.org/officeDocument/2006/relationships/hyperlink" Target="https://www.nice.org.uk/guidance/TA485" TargetMode="External"/><Relationship Id="rId53" Type="http://schemas.openxmlformats.org/officeDocument/2006/relationships/hyperlink" Target="https://www.nice.org.uk/guidance/ta433" TargetMode="External"/><Relationship Id="rId58" Type="http://schemas.openxmlformats.org/officeDocument/2006/relationships/hyperlink" Target="https://www.nice.org.uk/guidance/ta195" TargetMode="External"/><Relationship Id="rId66" Type="http://schemas.openxmlformats.org/officeDocument/2006/relationships/hyperlink" Target="https://www.nice.org.uk/guidance/ta373" TargetMode="External"/><Relationship Id="rId74" Type="http://schemas.openxmlformats.org/officeDocument/2006/relationships/hyperlink" Target="https://www.nice.org.uk/guidance/TA375" TargetMode="External"/><Relationship Id="rId79" Type="http://schemas.openxmlformats.org/officeDocument/2006/relationships/hyperlink" Target="http://www.medicines.org.uk/EMC/medicine/19162/SPC/Enbrel+50mg+solution+for+injection+in+pre-filled+syringe/" TargetMode="External"/><Relationship Id="rId87" Type="http://schemas.openxmlformats.org/officeDocument/2006/relationships/hyperlink" Target="https://www.nice.org.uk/guidance/ta195" TargetMode="External"/><Relationship Id="rId102" Type="http://schemas.openxmlformats.org/officeDocument/2006/relationships/hyperlink" Target="https://www.nice.org.uk/guidance/ta537" TargetMode="External"/><Relationship Id="rId110" Type="http://schemas.openxmlformats.org/officeDocument/2006/relationships/hyperlink" Target="https://www.nice.org.uk/guidance/ta466" TargetMode="External"/><Relationship Id="rId115" Type="http://schemas.openxmlformats.org/officeDocument/2006/relationships/hyperlink" Target="http://ard.bmj.com/search?author1=M+C+van+der+Goes&amp;sortspec=date&amp;submit=Submit" TargetMode="External"/><Relationship Id="rId5" Type="http://schemas.openxmlformats.org/officeDocument/2006/relationships/settings" Target="settings.xml"/><Relationship Id="rId61" Type="http://schemas.openxmlformats.org/officeDocument/2006/relationships/hyperlink" Target="http://www.medicines.org.uk/EMC/medicine/19714/SPC/ORENCIA+250+mg+powder+for+concentrate+for+solution+for+infusion/" TargetMode="External"/><Relationship Id="rId82" Type="http://schemas.openxmlformats.org/officeDocument/2006/relationships/hyperlink" Target="https://www.nice.org.uk/guidance/TA220" TargetMode="External"/><Relationship Id="rId90" Type="http://schemas.openxmlformats.org/officeDocument/2006/relationships/hyperlink" Target="http://www.medicines.org.uk/EMC/medicine/3236/SPC/Remicade+100mg+powder+for+concentrate+for+solution+for+infusion/" TargetMode="External"/><Relationship Id="rId95" Type="http://schemas.openxmlformats.org/officeDocument/2006/relationships/hyperlink" Target="https://www.nice.org.uk/guidance/TA375" TargetMode="External"/><Relationship Id="rId19" Type="http://schemas.openxmlformats.org/officeDocument/2006/relationships/hyperlink" Target="https://www.nice.org.uk/guidance/ta383" TargetMode="External"/><Relationship Id="rId14" Type="http://schemas.openxmlformats.org/officeDocument/2006/relationships/footer" Target="footer1.xml"/><Relationship Id="rId22" Type="http://schemas.openxmlformats.org/officeDocument/2006/relationships/hyperlink" Target="https://www.nice.org.uk/guidance/TA199" TargetMode="External"/><Relationship Id="rId27" Type="http://schemas.openxmlformats.org/officeDocument/2006/relationships/hyperlink" Target="https://www.nice.org.uk/guidance/TA445" TargetMode="External"/><Relationship Id="rId30" Type="http://schemas.openxmlformats.org/officeDocument/2006/relationships/hyperlink" Target="https://www.nice.org.uk/guidance/ta225" TargetMode="External"/><Relationship Id="rId35" Type="http://schemas.openxmlformats.org/officeDocument/2006/relationships/hyperlink" Target="https://www.nice.org.uk/guidance/ta195" TargetMode="External"/><Relationship Id="rId43" Type="http://schemas.openxmlformats.org/officeDocument/2006/relationships/hyperlink" Target="https://www.nice.org.uk/guidance/ta195" TargetMode="External"/><Relationship Id="rId48" Type="http://schemas.openxmlformats.org/officeDocument/2006/relationships/hyperlink" Target="https://www.nice.org.uk/guidance/TA375" TargetMode="External"/><Relationship Id="rId56" Type="http://schemas.openxmlformats.org/officeDocument/2006/relationships/hyperlink" Target="https://www.nice.org.uk/guidance/TA543" TargetMode="External"/><Relationship Id="rId64" Type="http://schemas.openxmlformats.org/officeDocument/2006/relationships/hyperlink" Target="https://www.nice.org.uk/guidance/TA199" TargetMode="External"/><Relationship Id="rId69" Type="http://schemas.openxmlformats.org/officeDocument/2006/relationships/hyperlink" Target="https://www.nice.org.uk/guidance/TA375" TargetMode="External"/><Relationship Id="rId77" Type="http://schemas.openxmlformats.org/officeDocument/2006/relationships/hyperlink" Target="https://www.nice.org.uk/guidance/ta383" TargetMode="External"/><Relationship Id="rId100" Type="http://schemas.openxmlformats.org/officeDocument/2006/relationships/hyperlink" Target="https://www.nice.org.uk/guidance/ta518" TargetMode="External"/><Relationship Id="rId105" Type="http://schemas.openxmlformats.org/officeDocument/2006/relationships/hyperlink" Target="https://www.nice.org.uk/guidance/TA485" TargetMode="External"/><Relationship Id="rId113" Type="http://schemas.openxmlformats.org/officeDocument/2006/relationships/hyperlink" Target="https://www.gov.uk/government/collections/immunisation-against-infectious-disease-the-green-book"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nice.org.uk/guidance/ta518" TargetMode="External"/><Relationship Id="rId72" Type="http://schemas.openxmlformats.org/officeDocument/2006/relationships/hyperlink" Target="https://www.nice.org.uk/guidance/ta383" TargetMode="External"/><Relationship Id="rId80" Type="http://schemas.openxmlformats.org/officeDocument/2006/relationships/hyperlink" Target="https://www.nice.org.uk/guidance/TA375" TargetMode="External"/><Relationship Id="rId85" Type="http://schemas.openxmlformats.org/officeDocument/2006/relationships/hyperlink" Target="http://www.medicines.org.uk/EMC/medicine/23766/SPC/Simponi+50+mg+solution+for+injection/" TargetMode="External"/><Relationship Id="rId93" Type="http://schemas.openxmlformats.org/officeDocument/2006/relationships/hyperlink" Target="https://www.england.nhs.uk/wp-content/uploads/2013/09/a13-psa.pdf" TargetMode="External"/><Relationship Id="rId98" Type="http://schemas.openxmlformats.org/officeDocument/2006/relationships/hyperlink" Target="https://www.nice.org.uk/guidance/ta247" TargetMode="External"/><Relationship Id="rId3" Type="http://schemas.openxmlformats.org/officeDocument/2006/relationships/styles" Target="styles.xml"/><Relationship Id="rId12" Type="http://schemas.openxmlformats.org/officeDocument/2006/relationships/hyperlink" Target="http://www.medicines.org.uk/EMC/medicine/7480/SPC/Arava+10%2c+20+and+100mg+Tablets/" TargetMode="External"/><Relationship Id="rId17" Type="http://schemas.openxmlformats.org/officeDocument/2006/relationships/hyperlink" Target="https://www.nice.org.uk/guidance/ta195" TargetMode="External"/><Relationship Id="rId25" Type="http://schemas.openxmlformats.org/officeDocument/2006/relationships/hyperlink" Target="https://www.nice.org.uk/guidance/TA375" TargetMode="External"/><Relationship Id="rId33" Type="http://schemas.openxmlformats.org/officeDocument/2006/relationships/hyperlink" Target="https://www.nice.org.uk/guidance/ta497" TargetMode="External"/><Relationship Id="rId38" Type="http://schemas.openxmlformats.org/officeDocument/2006/relationships/hyperlink" Target="https://www.nice.org.uk/guidance/TA375" TargetMode="External"/><Relationship Id="rId46" Type="http://schemas.openxmlformats.org/officeDocument/2006/relationships/hyperlink" Target="https://www.nice.org.uk/guidance/TA407" TargetMode="External"/><Relationship Id="rId59" Type="http://schemas.openxmlformats.org/officeDocument/2006/relationships/hyperlink" Target="https://www.nice.org.uk/guidance/ta373" TargetMode="External"/><Relationship Id="rId67" Type="http://schemas.openxmlformats.org/officeDocument/2006/relationships/hyperlink" Target="https://www.nice.org.uk/guidance/ta397" TargetMode="External"/><Relationship Id="rId103" Type="http://schemas.openxmlformats.org/officeDocument/2006/relationships/hyperlink" Target="https://www.medicines.org.uk/emc/product/7233/smpc" TargetMode="External"/><Relationship Id="rId108" Type="http://schemas.openxmlformats.org/officeDocument/2006/relationships/hyperlink" Target="https://www.nice.org.uk/guidance/ta340" TargetMode="External"/><Relationship Id="rId116" Type="http://schemas.openxmlformats.org/officeDocument/2006/relationships/hyperlink" Target="http://ard.bmj.com/content/early/2013/07/18/annrheumdis-2013-203249.abstract?papetoc" TargetMode="External"/><Relationship Id="rId20" Type="http://schemas.openxmlformats.org/officeDocument/2006/relationships/hyperlink" Target="https://www.nice.org.uk/guidance/TA375" TargetMode="External"/><Relationship Id="rId41" Type="http://schemas.openxmlformats.org/officeDocument/2006/relationships/hyperlink" Target="https://www.nice.org.uk/guidance/ta397" TargetMode="External"/><Relationship Id="rId54" Type="http://schemas.openxmlformats.org/officeDocument/2006/relationships/hyperlink" Target="https://www.nice.org.uk/guidance/ta466" TargetMode="External"/><Relationship Id="rId62" Type="http://schemas.openxmlformats.org/officeDocument/2006/relationships/hyperlink" Target="https://www.nice.org.uk/guidance/TA375" TargetMode="External"/><Relationship Id="rId70" Type="http://schemas.openxmlformats.org/officeDocument/2006/relationships/hyperlink" Target="https://www.nice.org.uk/guidance/ta415" TargetMode="External"/><Relationship Id="rId75" Type="http://schemas.openxmlformats.org/officeDocument/2006/relationships/hyperlink" Target="https://www.nice.org.uk/guidance/ta195" TargetMode="External"/><Relationship Id="rId83" Type="http://schemas.openxmlformats.org/officeDocument/2006/relationships/hyperlink" Target="https://www.nice.org.uk/guidance/ta383" TargetMode="External"/><Relationship Id="rId88" Type="http://schemas.openxmlformats.org/officeDocument/2006/relationships/hyperlink" Target="https://www.nice.org.uk/guidance/TA199" TargetMode="External"/><Relationship Id="rId91" Type="http://schemas.openxmlformats.org/officeDocument/2006/relationships/hyperlink" Target="https://www.nice.org.uk/guidance/ta195" TargetMode="External"/><Relationship Id="rId96" Type="http://schemas.openxmlformats.org/officeDocument/2006/relationships/hyperlink" Target="https://www.nice.org.uk/guidance/ta247" TargetMode="External"/><Relationship Id="rId111" Type="http://schemas.openxmlformats.org/officeDocument/2006/relationships/hyperlink" Target="https://www.nice.org.uk/guidance/ta4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edicines.org.uk/EMC/medicine/1679/SPC/Cellcept+250mg+Capsules/" TargetMode="External"/><Relationship Id="rId23" Type="http://schemas.openxmlformats.org/officeDocument/2006/relationships/hyperlink" Target="https://www.nice.org.uk/guidance/ta383" TargetMode="External"/><Relationship Id="rId28" Type="http://schemas.openxmlformats.org/officeDocument/2006/relationships/hyperlink" Target="https://www.nice.org.uk/guidance/ta383" TargetMode="External"/><Relationship Id="rId36" Type="http://schemas.openxmlformats.org/officeDocument/2006/relationships/hyperlink" Target="https://www.nice.org.uk/guidance/TA199" TargetMode="External"/><Relationship Id="rId49" Type="http://schemas.openxmlformats.org/officeDocument/2006/relationships/hyperlink" Target="https://www.nice.org.uk/guidance/ta247" TargetMode="External"/><Relationship Id="rId57" Type="http://schemas.openxmlformats.org/officeDocument/2006/relationships/hyperlink" Target="https://www.nice.org.uk/guidance/TA375" TargetMode="External"/><Relationship Id="rId106" Type="http://schemas.openxmlformats.org/officeDocument/2006/relationships/hyperlink" Target="https://www.nice.org.uk/guidance/TA407" TargetMode="External"/><Relationship Id="rId114" Type="http://schemas.openxmlformats.org/officeDocument/2006/relationships/hyperlink" Target="http://ard.bmj.com/search?author1=N+Duru&amp;sortspec=date&amp;submit=Submit" TargetMode="External"/><Relationship Id="rId119" Type="http://schemas.openxmlformats.org/officeDocument/2006/relationships/theme" Target="theme/theme1.xml"/><Relationship Id="rId10" Type="http://schemas.openxmlformats.org/officeDocument/2006/relationships/hyperlink" Target="http://www.medicines.org.uk/EMC/medicine/2881/SPC/Imuran+Tablets+25mg/" TargetMode="External"/><Relationship Id="rId31" Type="http://schemas.openxmlformats.org/officeDocument/2006/relationships/hyperlink" Target="https://www.nice.org.uk/guidance/TA220" TargetMode="External"/><Relationship Id="rId44" Type="http://schemas.openxmlformats.org/officeDocument/2006/relationships/hyperlink" Target="https://www.nice.org.uk/guidance/ta308" TargetMode="External"/><Relationship Id="rId52" Type="http://schemas.openxmlformats.org/officeDocument/2006/relationships/hyperlink" Target="https://www.nice.org.uk/guidance/ta340" TargetMode="External"/><Relationship Id="rId60" Type="http://schemas.openxmlformats.org/officeDocument/2006/relationships/hyperlink" Target="http://www.medicines.org.uk/EMC/medicine/27216/SPC/ORENCIA+125+mg+solution+for+injection+(pre-filled+syringe)/" TargetMode="External"/><Relationship Id="rId65" Type="http://schemas.openxmlformats.org/officeDocument/2006/relationships/hyperlink" Target="https://www.nice.org.uk/guidance/ta383" TargetMode="External"/><Relationship Id="rId73" Type="http://schemas.openxmlformats.org/officeDocument/2006/relationships/hyperlink" Target="http://www.medicines.org.uk/EMC/medicine/22323/SPC/Cimzia+200+mg+solution+for+injection/" TargetMode="External"/><Relationship Id="rId78" Type="http://schemas.openxmlformats.org/officeDocument/2006/relationships/hyperlink" Target="https://www.nice.org.uk/guidance/ta373" TargetMode="External"/><Relationship Id="rId81" Type="http://schemas.openxmlformats.org/officeDocument/2006/relationships/hyperlink" Target="https://www.nice.org.uk/guidance/ta225" TargetMode="External"/><Relationship Id="rId86" Type="http://schemas.openxmlformats.org/officeDocument/2006/relationships/hyperlink" Target="https://www.nice.org.uk/guidance/TA375" TargetMode="External"/><Relationship Id="rId94" Type="http://schemas.openxmlformats.org/officeDocument/2006/relationships/hyperlink" Target="http://www.medicines.org.uk/EMC/medicine/2570/SPC/Mabthera+100mg+and+500mg+concentrate+for+solution+for+infusion/" TargetMode="External"/><Relationship Id="rId99" Type="http://schemas.openxmlformats.org/officeDocument/2006/relationships/hyperlink" Target="https://www.nice.org.uk/guidance/ta373" TargetMode="External"/><Relationship Id="rId101" Type="http://schemas.openxmlformats.org/officeDocument/2006/relationships/hyperlink" Target="http://www.medicines.org.uk/EMC/medicine/22311/SPC/RoActemra+20mg+ml+Concentrate+for+Solution+for+Infusion/" TargetMode="External"/><Relationship Id="rId4" Type="http://schemas.microsoft.com/office/2007/relationships/stylesWithEffects" Target="stylesWithEffects.xml"/><Relationship Id="rId9" Type="http://schemas.openxmlformats.org/officeDocument/2006/relationships/hyperlink" Target="mailto:Andrew.Gough@hdft.nhs.uk" TargetMode="External"/><Relationship Id="rId13" Type="http://schemas.openxmlformats.org/officeDocument/2006/relationships/hyperlink" Target="http://www.medicines.org.uk/EMC/medicine/6005/SPC/Maxtrex+Tablets+10+mg/" TargetMode="External"/><Relationship Id="rId18" Type="http://schemas.openxmlformats.org/officeDocument/2006/relationships/hyperlink" Target="https://www.nice.org.uk/guidance/TA199" TargetMode="External"/><Relationship Id="rId39" Type="http://schemas.openxmlformats.org/officeDocument/2006/relationships/hyperlink" Target="https://www.nice.org.uk/guidance/ta195" TargetMode="External"/><Relationship Id="rId109" Type="http://schemas.openxmlformats.org/officeDocument/2006/relationships/hyperlink" Target="https://www.nice.org.uk/guidance/ta433" TargetMode="External"/><Relationship Id="rId34" Type="http://schemas.openxmlformats.org/officeDocument/2006/relationships/hyperlink" Target="https://www.nice.org.uk/guidance/TA375" TargetMode="External"/><Relationship Id="rId50" Type="http://schemas.openxmlformats.org/officeDocument/2006/relationships/hyperlink" Target="https://www.nice.org.uk/guidance/ta373" TargetMode="External"/><Relationship Id="rId55" Type="http://schemas.openxmlformats.org/officeDocument/2006/relationships/hyperlink" Target="https://www.nice.org.uk/guidance/ta480" TargetMode="External"/><Relationship Id="rId76" Type="http://schemas.openxmlformats.org/officeDocument/2006/relationships/hyperlink" Target="https://www.nice.org.uk/guidance/TA199" TargetMode="External"/><Relationship Id="rId97" Type="http://schemas.openxmlformats.org/officeDocument/2006/relationships/hyperlink" Target="https://www.nice.org.uk/guidance/ta373" TargetMode="External"/><Relationship Id="rId104" Type="http://schemas.openxmlformats.org/officeDocument/2006/relationships/hyperlink" Target="https://www.nice.org.uk/guidance/ta537" TargetMode="External"/><Relationship Id="rId7" Type="http://schemas.openxmlformats.org/officeDocument/2006/relationships/footnotes" Target="footnotes.xml"/><Relationship Id="rId71" Type="http://schemas.openxmlformats.org/officeDocument/2006/relationships/hyperlink" Target="https://www.nice.org.uk/guidance/TA445" TargetMode="External"/><Relationship Id="rId92" Type="http://schemas.openxmlformats.org/officeDocument/2006/relationships/hyperlink" Target="https://www.nice.org.uk/guidance/ta308" TargetMode="External"/><Relationship Id="rId2" Type="http://schemas.openxmlformats.org/officeDocument/2006/relationships/numbering" Target="numbering.xml"/><Relationship Id="rId29" Type="http://schemas.openxmlformats.org/officeDocument/2006/relationships/hyperlink" Target="https://www.nice.org.uk/guidance/TA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4415-0F5A-4D87-B022-23AB3E8C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C6B7FBC2</Template>
  <TotalTime>0</TotalTime>
  <Pages>60</Pages>
  <Words>17110</Words>
  <Characters>97529</Characters>
  <Application>Microsoft Office Word</Application>
  <DocSecurity>4</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 Tran</dc:creator>
  <cp:lastModifiedBy>Catherine Short</cp:lastModifiedBy>
  <cp:revision>2</cp:revision>
  <dcterms:created xsi:type="dcterms:W3CDTF">2018-12-19T15:57:00Z</dcterms:created>
  <dcterms:modified xsi:type="dcterms:W3CDTF">2018-12-19T15:57:00Z</dcterms:modified>
</cp:coreProperties>
</file>